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200" w:beforeLines="0" w:after="0" w:afterLines="0"/>
        <w:jc w:val="center"/>
        <w:rPr>
          <w:rFonts w:hint="default"/>
          <w:sz w:val="24"/>
          <w:szCs w:val="24"/>
        </w:rPr>
      </w:pPr>
      <w:r>
        <w:rPr>
          <w:rFonts w:hint="default"/>
          <w:sz w:val="24"/>
          <w:szCs w:val="24"/>
        </w:rPr>
        <w:drawing>
          <wp:inline distT="0" distB="0" distL="114300" distR="114300">
            <wp:extent cx="1409700" cy="408940"/>
            <wp:effectExtent l="0" t="0" r="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409700" cy="408940"/>
                    </a:xfrm>
                    <a:prstGeom prst="rect">
                      <a:avLst/>
                    </a:prstGeom>
                    <a:noFill/>
                    <a:ln>
                      <a:noFill/>
                    </a:ln>
                  </pic:spPr>
                </pic:pic>
              </a:graphicData>
            </a:graphic>
          </wp:inline>
        </w:drawing>
      </w:r>
    </w:p>
    <w:p>
      <w:pPr>
        <w:autoSpaceDE w:val="0"/>
        <w:autoSpaceDN w:val="0"/>
        <w:adjustRightInd w:val="0"/>
        <w:spacing w:before="1200" w:beforeLines="0" w:after="0" w:afterLines="0"/>
        <w:jc w:val="center"/>
        <w:rPr>
          <w:rFonts w:hint="default"/>
          <w:sz w:val="24"/>
          <w:szCs w:val="24"/>
        </w:rPr>
      </w:pPr>
    </w:p>
    <w:p>
      <w:pPr>
        <w:spacing w:before="200" w:beforeLines="0" w:after="200" w:afterLines="0"/>
        <w:jc w:val="center"/>
        <w:rPr>
          <w:rFonts w:hint="default"/>
          <w:b/>
          <w:sz w:val="36"/>
          <w:szCs w:val="24"/>
        </w:rPr>
      </w:pPr>
      <w:r>
        <w:rPr>
          <w:rFonts w:hint="eastAsia"/>
          <w:b/>
          <w:sz w:val="36"/>
          <w:szCs w:val="24"/>
        </w:rPr>
        <w:t>青岛伟隆阀门股份有限公司</w:t>
      </w:r>
    </w:p>
    <w:p>
      <w:pPr>
        <w:spacing w:before="400" w:beforeLines="0" w:after="0" w:afterLines="0"/>
        <w:jc w:val="center"/>
        <w:rPr>
          <w:rFonts w:hint="eastAsia"/>
          <w:b/>
          <w:sz w:val="32"/>
          <w:szCs w:val="24"/>
        </w:rPr>
      </w:pPr>
      <w:r>
        <w:rPr>
          <w:rFonts w:hint="default"/>
          <w:b/>
          <w:sz w:val="32"/>
          <w:szCs w:val="24"/>
        </w:rPr>
        <w:t>2021</w:t>
      </w:r>
      <w:r>
        <w:rPr>
          <w:rFonts w:hint="eastAsia"/>
          <w:b/>
          <w:sz w:val="32"/>
          <w:szCs w:val="24"/>
        </w:rPr>
        <w:t>年年度报告</w:t>
      </w:r>
    </w:p>
    <w:p>
      <w:pPr>
        <w:spacing w:before="400" w:beforeLines="0" w:after="0" w:afterLines="0"/>
        <w:jc w:val="center"/>
        <w:rPr>
          <w:rFonts w:hint="default" w:eastAsia="宋体"/>
          <w:b/>
          <w:sz w:val="32"/>
          <w:szCs w:val="24"/>
          <w:lang w:val="en-US" w:eastAsia="zh-CN"/>
        </w:rPr>
      </w:pPr>
      <w:r>
        <w:rPr>
          <w:rFonts w:hint="eastAsia"/>
          <w:b/>
          <w:sz w:val="32"/>
          <w:szCs w:val="24"/>
          <w:lang w:val="en-US" w:eastAsia="zh-CN"/>
        </w:rPr>
        <w:t>2022-028</w:t>
      </w:r>
      <w:bookmarkStart w:id="10" w:name="_GoBack"/>
      <w:bookmarkEnd w:id="10"/>
    </w:p>
    <w:p>
      <w:pPr>
        <w:spacing w:before="6000" w:beforeLines="0" w:after="0" w:afterLines="0"/>
        <w:jc w:val="center"/>
        <w:rPr>
          <w:rFonts w:hint="default"/>
          <w:b/>
          <w:sz w:val="32"/>
          <w:szCs w:val="24"/>
        </w:rPr>
      </w:pPr>
      <w:r>
        <w:rPr>
          <w:rFonts w:hint="default"/>
          <w:b/>
          <w:sz w:val="32"/>
          <w:szCs w:val="24"/>
        </w:rPr>
        <w:t>2022</w:t>
      </w:r>
      <w:r>
        <w:rPr>
          <w:rFonts w:hint="eastAsia"/>
          <w:b/>
          <w:sz w:val="32"/>
          <w:szCs w:val="24"/>
        </w:rPr>
        <w:t>年</w:t>
      </w:r>
      <w:r>
        <w:rPr>
          <w:rFonts w:hint="default"/>
          <w:b/>
          <w:sz w:val="32"/>
          <w:szCs w:val="24"/>
        </w:rPr>
        <w:t>04</w:t>
      </w:r>
      <w:r>
        <w:rPr>
          <w:rFonts w:hint="eastAsia"/>
          <w:b/>
          <w:sz w:val="32"/>
          <w:szCs w:val="24"/>
        </w:rPr>
        <w:t>月</w:t>
      </w:r>
    </w:p>
    <w:p>
      <w:pPr>
        <w:spacing w:before="6000" w:beforeLines="0" w:after="0" w:afterLines="0"/>
        <w:jc w:val="center"/>
        <w:rPr>
          <w:rFonts w:hint="default"/>
          <w:b/>
          <w:sz w:val="32"/>
          <w:szCs w:val="24"/>
        </w:rPr>
        <w:sectPr>
          <w:headerReference r:id="rId4" w:type="default"/>
          <w:footerReference r:id="rId5" w:type="default"/>
          <w:pgSz w:w="11906" w:h="16838"/>
          <w:pgMar w:top="1440" w:right="1134" w:bottom="1440" w:left="1134" w:header="720" w:footer="720" w:gutter="0"/>
          <w:lnNumType w:countBy="0" w:distance="360"/>
          <w:cols w:space="720" w:num="1"/>
        </w:sectPr>
      </w:pPr>
    </w:p>
    <w:p>
      <w:pPr>
        <w:pStyle w:val="3"/>
        <w:spacing w:beforeLines="0" w:afterLines="0"/>
        <w:outlineLvl w:val="0"/>
        <w:rPr>
          <w:rFonts w:hint="default"/>
          <w:sz w:val="32"/>
          <w:szCs w:val="24"/>
        </w:rPr>
      </w:pPr>
      <w:bookmarkStart w:id="0" w:name="_Toc300000084"/>
      <w:r>
        <w:rPr>
          <w:rFonts w:hint="eastAsia"/>
          <w:sz w:val="32"/>
          <w:szCs w:val="24"/>
        </w:rPr>
        <w:t>第一节</w:t>
      </w:r>
      <w:r>
        <w:rPr>
          <w:rFonts w:hint="default"/>
          <w:sz w:val="32"/>
          <w:szCs w:val="24"/>
        </w:rPr>
        <w:t xml:space="preserve"> </w:t>
      </w:r>
      <w:r>
        <w:rPr>
          <w:rFonts w:hint="eastAsia"/>
          <w:sz w:val="32"/>
          <w:szCs w:val="24"/>
        </w:rPr>
        <w:t>重要提示、目录和释义</w:t>
      </w:r>
      <w:bookmarkEnd w:id="0"/>
    </w:p>
    <w:p>
      <w:pPr>
        <w:spacing w:before="100" w:beforeLines="0" w:after="100" w:afterLines="0"/>
        <w:ind w:firstLine="562" w:firstLineChars="200"/>
        <w:rPr>
          <w:rFonts w:hint="default"/>
          <w:b/>
          <w:sz w:val="28"/>
          <w:szCs w:val="24"/>
        </w:rPr>
      </w:pPr>
      <w:r>
        <w:rPr>
          <w:rFonts w:hint="eastAsia"/>
          <w:b/>
          <w:sz w:val="28"/>
          <w:szCs w:val="24"/>
        </w:rPr>
        <w:t>公司董事会、监事会及董事、监事、高级管理人员保证年度报告内容的真实、准确、完整，不存在虚假记载、误导性陈述或重大遗漏，并承担个别和连带的法律责任。</w:t>
      </w:r>
    </w:p>
    <w:p>
      <w:pPr>
        <w:spacing w:before="100" w:beforeLines="0" w:after="100" w:afterLines="0"/>
        <w:ind w:firstLine="562" w:firstLineChars="200"/>
        <w:rPr>
          <w:rFonts w:hint="default"/>
          <w:b/>
          <w:sz w:val="28"/>
          <w:szCs w:val="24"/>
        </w:rPr>
      </w:pPr>
      <w:r>
        <w:rPr>
          <w:rFonts w:hint="eastAsia"/>
          <w:b/>
          <w:sz w:val="28"/>
          <w:szCs w:val="24"/>
        </w:rPr>
        <w:t>公司负责人范庆伟、主管会计工作负责人迟娜娜及会计机构负责人</w:t>
      </w:r>
      <w:r>
        <w:rPr>
          <w:rFonts w:hint="default"/>
          <w:b/>
          <w:sz w:val="28"/>
          <w:szCs w:val="24"/>
        </w:rPr>
        <w:t>(</w:t>
      </w:r>
      <w:r>
        <w:rPr>
          <w:rFonts w:hint="eastAsia"/>
          <w:b/>
          <w:sz w:val="28"/>
          <w:szCs w:val="24"/>
        </w:rPr>
        <w:t>会计主管人员</w:t>
      </w:r>
      <w:r>
        <w:rPr>
          <w:rFonts w:hint="default"/>
          <w:b/>
          <w:sz w:val="28"/>
          <w:szCs w:val="24"/>
        </w:rPr>
        <w:t>)</w:t>
      </w:r>
      <w:r>
        <w:rPr>
          <w:rFonts w:hint="eastAsia"/>
          <w:b/>
          <w:sz w:val="28"/>
          <w:szCs w:val="24"/>
        </w:rPr>
        <w:t>王涛声明：保证本年度报告中财务报告的真实、准确、完整。</w:t>
      </w:r>
    </w:p>
    <w:p>
      <w:pPr>
        <w:spacing w:before="100" w:beforeLines="0" w:after="100" w:afterLines="0"/>
        <w:ind w:firstLine="562" w:firstLineChars="200"/>
        <w:rPr>
          <w:rFonts w:hint="default"/>
          <w:b/>
          <w:sz w:val="28"/>
          <w:szCs w:val="24"/>
        </w:rPr>
      </w:pPr>
      <w:r>
        <w:rPr>
          <w:rFonts w:hint="eastAsia"/>
          <w:b/>
          <w:sz w:val="28"/>
          <w:szCs w:val="24"/>
        </w:rPr>
        <w:t>所有董事均已出席了审议本报告的董事会会议。</w:t>
      </w:r>
    </w:p>
    <w:p>
      <w:pPr>
        <w:spacing w:before="100" w:beforeLines="0" w:after="100" w:afterLines="0"/>
        <w:ind w:firstLine="562" w:firstLineChars="200"/>
        <w:rPr>
          <w:rFonts w:hint="default"/>
          <w:b/>
          <w:sz w:val="28"/>
          <w:szCs w:val="24"/>
        </w:rPr>
      </w:pPr>
      <w:r>
        <w:rPr>
          <w:rFonts w:hint="eastAsia"/>
          <w:b/>
          <w:sz w:val="28"/>
          <w:szCs w:val="24"/>
        </w:rPr>
        <w:t>本报告涉及的未来计划、发展战略等前瞻性描述，不代表公司盈利预测，不构成公司对投资者的实质承诺，投资者及相关人士均应对此保持足够的风险意识，并且应当理解计划、预测与承诺之间的差异，请投资者注意投资风险。公司在本报告“第三节管理层讨论与分析”中“十一、公司未来发展的展望”部分，详细描述了公司经营中可能存在的风险及应对措施，敬请投资者注意相关内容。</w:t>
      </w:r>
    </w:p>
    <w:p>
      <w:pPr>
        <w:spacing w:before="100" w:beforeLines="0" w:after="100" w:afterLines="0"/>
        <w:ind w:firstLine="562" w:firstLineChars="200"/>
        <w:rPr>
          <w:rFonts w:hint="default"/>
          <w:b/>
          <w:sz w:val="28"/>
          <w:szCs w:val="24"/>
        </w:rPr>
      </w:pPr>
      <w:r>
        <w:rPr>
          <w:rFonts w:hint="eastAsia"/>
          <w:b/>
          <w:sz w:val="28"/>
          <w:szCs w:val="24"/>
        </w:rPr>
        <w:t>公司经本次董事会审议通过的利润分配预案为：以</w:t>
      </w:r>
      <w:r>
        <w:rPr>
          <w:rFonts w:hint="default"/>
          <w:b/>
          <w:sz w:val="28"/>
          <w:szCs w:val="24"/>
        </w:rPr>
        <w:t>2021</w:t>
      </w:r>
      <w:r>
        <w:rPr>
          <w:rFonts w:hint="eastAsia"/>
          <w:b/>
          <w:sz w:val="28"/>
          <w:szCs w:val="24"/>
        </w:rPr>
        <w:t>年</w:t>
      </w:r>
      <w:r>
        <w:rPr>
          <w:rFonts w:hint="default"/>
          <w:b/>
          <w:sz w:val="28"/>
          <w:szCs w:val="24"/>
        </w:rPr>
        <w:t>12</w:t>
      </w:r>
      <w:r>
        <w:rPr>
          <w:rFonts w:hint="eastAsia"/>
          <w:b/>
          <w:sz w:val="28"/>
          <w:szCs w:val="24"/>
        </w:rPr>
        <w:t>月</w:t>
      </w:r>
      <w:r>
        <w:rPr>
          <w:rFonts w:hint="default"/>
          <w:b/>
          <w:sz w:val="28"/>
          <w:szCs w:val="24"/>
        </w:rPr>
        <w:t>31</w:t>
      </w:r>
      <w:r>
        <w:rPr>
          <w:rFonts w:hint="eastAsia"/>
          <w:b/>
          <w:sz w:val="28"/>
          <w:szCs w:val="24"/>
        </w:rPr>
        <w:t>日公司总股本</w:t>
      </w:r>
      <w:r>
        <w:rPr>
          <w:rFonts w:hint="default"/>
          <w:b/>
          <w:sz w:val="28"/>
          <w:szCs w:val="24"/>
        </w:rPr>
        <w:t>169,032,648</w:t>
      </w:r>
      <w:r>
        <w:rPr>
          <w:rFonts w:hint="eastAsia"/>
          <w:b/>
          <w:sz w:val="28"/>
          <w:szCs w:val="24"/>
        </w:rPr>
        <w:t>股扣除公司持有的回购股份</w:t>
      </w:r>
      <w:r>
        <w:rPr>
          <w:rFonts w:hint="default"/>
          <w:b/>
          <w:sz w:val="28"/>
          <w:szCs w:val="24"/>
        </w:rPr>
        <w:t>427,626</w:t>
      </w:r>
      <w:r>
        <w:rPr>
          <w:rFonts w:hint="eastAsia"/>
          <w:b/>
          <w:sz w:val="28"/>
          <w:szCs w:val="24"/>
        </w:rPr>
        <w:t>股后，以</w:t>
      </w:r>
      <w:r>
        <w:rPr>
          <w:rFonts w:hint="default"/>
          <w:b/>
          <w:sz w:val="28"/>
          <w:szCs w:val="24"/>
        </w:rPr>
        <w:t>168,605,022</w:t>
      </w:r>
      <w:r>
        <w:rPr>
          <w:rFonts w:hint="eastAsia"/>
          <w:b/>
          <w:sz w:val="28"/>
          <w:szCs w:val="24"/>
        </w:rPr>
        <w:t>股为基数，向全体股东每</w:t>
      </w:r>
      <w:r>
        <w:rPr>
          <w:rFonts w:hint="default"/>
          <w:b/>
          <w:sz w:val="28"/>
          <w:szCs w:val="24"/>
        </w:rPr>
        <w:t>10</w:t>
      </w:r>
      <w:r>
        <w:rPr>
          <w:rFonts w:hint="eastAsia"/>
          <w:b/>
          <w:sz w:val="28"/>
          <w:szCs w:val="24"/>
        </w:rPr>
        <w:t>股派发现金红利</w:t>
      </w:r>
      <w:r>
        <w:rPr>
          <w:rFonts w:hint="default"/>
          <w:b/>
          <w:sz w:val="28"/>
          <w:szCs w:val="24"/>
        </w:rPr>
        <w:t>3.50</w:t>
      </w:r>
      <w:r>
        <w:rPr>
          <w:rFonts w:hint="eastAsia"/>
          <w:b/>
          <w:sz w:val="28"/>
          <w:szCs w:val="24"/>
        </w:rPr>
        <w:t>元（含税），送红股</w:t>
      </w:r>
      <w:r>
        <w:rPr>
          <w:rFonts w:hint="default"/>
          <w:b/>
          <w:sz w:val="28"/>
          <w:szCs w:val="24"/>
        </w:rPr>
        <w:t>0</w:t>
      </w:r>
      <w:r>
        <w:rPr>
          <w:rFonts w:hint="eastAsia"/>
          <w:b/>
          <w:sz w:val="28"/>
          <w:szCs w:val="24"/>
        </w:rPr>
        <w:t>股（含税），不以公积金转增股本。</w:t>
      </w:r>
    </w:p>
    <w:p>
      <w:pPr>
        <w:spacing w:before="100" w:beforeLines="0" w:after="100" w:afterLines="0"/>
        <w:ind w:firstLine="562" w:firstLineChars="200"/>
        <w:rPr>
          <w:rFonts w:hint="default"/>
          <w:b/>
          <w:sz w:val="28"/>
          <w:szCs w:val="24"/>
        </w:rPr>
        <w:sectPr>
          <w:pgSz w:w="11906" w:h="16838"/>
          <w:pgMar w:top="1440" w:right="1134" w:bottom="1440" w:left="1134" w:header="851" w:footer="992" w:gutter="0"/>
          <w:lnNumType w:countBy="0" w:distance="360"/>
          <w:cols w:space="720" w:num="1"/>
          <w:docGrid w:type="lines" w:linePitch="312" w:charSpace="0"/>
        </w:sectPr>
      </w:pPr>
    </w:p>
    <w:p>
      <w:pPr>
        <w:spacing w:before="1400" w:beforeLines="0" w:after="1400" w:afterLines="0"/>
        <w:jc w:val="center"/>
        <w:rPr>
          <w:rFonts w:hint="default"/>
          <w:b/>
          <w:sz w:val="36"/>
          <w:szCs w:val="24"/>
        </w:rPr>
      </w:pPr>
      <w:r>
        <w:rPr>
          <w:rFonts w:hint="eastAsia"/>
          <w:b/>
          <w:sz w:val="36"/>
          <w:szCs w:val="24"/>
        </w:rPr>
        <w:t>目录</w:t>
      </w:r>
    </w:p>
    <w:p>
      <w:pPr>
        <w:tabs>
          <w:tab w:val="right" w:leader="dot" w:pos="9628"/>
        </w:tabs>
        <w:spacing w:before="180" w:beforeLines="0" w:after="180" w:afterLines="0"/>
        <w:rPr>
          <w:rFonts w:hint="default"/>
          <w:b/>
          <w:sz w:val="24"/>
          <w:szCs w:val="18"/>
        </w:rPr>
      </w:pPr>
      <w:r>
        <w:rPr>
          <w:rFonts w:hint="default"/>
          <w:b/>
          <w:sz w:val="24"/>
          <w:szCs w:val="24"/>
        </w:rPr>
        <w:fldChar w:fldCharType="begin"/>
      </w:r>
      <w:r>
        <w:rPr>
          <w:rFonts w:hint="default"/>
          <w:b/>
          <w:sz w:val="24"/>
          <w:szCs w:val="24"/>
        </w:rPr>
        <w:instrText xml:space="preserve"> TOC \h \z \t "</w:instrText>
      </w:r>
      <w:r>
        <w:rPr>
          <w:rFonts w:hint="eastAsia" w:cs="宋体"/>
          <w:b/>
          <w:sz w:val="24"/>
          <w:szCs w:val="24"/>
        </w:rPr>
        <w:instrText xml:space="preserve">标题</w:instrText>
      </w:r>
      <w:r>
        <w:rPr>
          <w:rFonts w:hint="default"/>
          <w:b/>
          <w:sz w:val="24"/>
          <w:szCs w:val="24"/>
        </w:rPr>
        <w:instrText xml:space="preserve">,1" </w:instrText>
      </w:r>
      <w:r>
        <w:rPr>
          <w:rFonts w:hint="default"/>
          <w:b/>
          <w:sz w:val="24"/>
          <w:szCs w:val="24"/>
        </w:rPr>
        <w:fldChar w:fldCharType="separate"/>
      </w:r>
      <w:r>
        <w:rPr>
          <w:rFonts w:hint="default"/>
          <w:b/>
          <w:sz w:val="24"/>
          <w:szCs w:val="18"/>
        </w:rPr>
        <w:fldChar w:fldCharType="begin"/>
      </w:r>
      <w:r>
        <w:rPr>
          <w:rFonts w:hint="default"/>
          <w:b/>
          <w:sz w:val="24"/>
          <w:szCs w:val="18"/>
        </w:rPr>
        <w:instrText xml:space="preserve"> HYPERLINK \l "_Toc74753933" </w:instrText>
      </w:r>
      <w:r>
        <w:rPr>
          <w:rFonts w:hint="default"/>
          <w:b/>
          <w:sz w:val="24"/>
          <w:szCs w:val="18"/>
        </w:rPr>
        <w:fldChar w:fldCharType="separate"/>
      </w:r>
      <w:r>
        <w:rPr>
          <w:rFonts w:hint="eastAsia"/>
          <w:b/>
          <w:sz w:val="24"/>
          <w:szCs w:val="18"/>
        </w:rPr>
        <w:t>第一节</w:t>
      </w:r>
      <w:r>
        <w:rPr>
          <w:rFonts w:hint="default"/>
          <w:b/>
          <w:sz w:val="24"/>
          <w:szCs w:val="18"/>
        </w:rPr>
        <w:t xml:space="preserve"> </w:t>
      </w:r>
      <w:r>
        <w:rPr>
          <w:rFonts w:hint="eastAsia"/>
          <w:b/>
          <w:sz w:val="24"/>
          <w:szCs w:val="18"/>
        </w:rPr>
        <w:t>重要提示、目录和释义</w:t>
      </w:r>
      <w:r>
        <w:rPr>
          <w:rFonts w:hint="default"/>
          <w:b/>
          <w:sz w:val="24"/>
          <w:szCs w:val="18"/>
        </w:rPr>
        <w:tab/>
      </w:r>
      <w:r>
        <w:rPr>
          <w:rFonts w:hint="default"/>
          <w:b/>
          <w:sz w:val="24"/>
          <w:szCs w:val="18"/>
        </w:rPr>
        <w:fldChar w:fldCharType="begin"/>
      </w:r>
      <w:r>
        <w:rPr>
          <w:rFonts w:hint="default"/>
          <w:b/>
          <w:sz w:val="24"/>
          <w:szCs w:val="18"/>
        </w:rPr>
        <w:instrText xml:space="preserve"> PAGEREF _Toc74753933 \h </w:instrText>
      </w:r>
      <w:r>
        <w:rPr>
          <w:rFonts w:hint="default"/>
          <w:b/>
          <w:sz w:val="24"/>
          <w:szCs w:val="18"/>
        </w:rPr>
        <w:fldChar w:fldCharType="separate"/>
      </w:r>
      <w:r>
        <w:rPr>
          <w:rFonts w:hint="default"/>
          <w:b/>
          <w:sz w:val="24"/>
          <w:szCs w:val="18"/>
        </w:rPr>
        <w:t>2</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"_Toc74753934" </w:instrText>
      </w:r>
      <w:r>
        <w:rPr>
          <w:rFonts w:hint="default"/>
          <w:b/>
          <w:sz w:val="24"/>
          <w:szCs w:val="18"/>
        </w:rPr>
        <w:fldChar w:fldCharType="separate"/>
      </w:r>
      <w:r>
        <w:rPr>
          <w:rFonts w:hint="eastAsia"/>
          <w:b/>
          <w:sz w:val="24"/>
          <w:szCs w:val="18"/>
        </w:rPr>
        <w:t>第二节</w:t>
      </w:r>
      <w:r>
        <w:rPr>
          <w:rFonts w:hint="default"/>
          <w:b/>
          <w:sz w:val="24"/>
          <w:szCs w:val="18"/>
        </w:rPr>
        <w:t xml:space="preserve"> </w:t>
      </w:r>
      <w:r>
        <w:rPr>
          <w:rFonts w:hint="eastAsia"/>
          <w:b/>
          <w:sz w:val="24"/>
          <w:szCs w:val="18"/>
        </w:rPr>
        <w:t>公司简介和主要财务指标</w:t>
      </w:r>
      <w:r>
        <w:rPr>
          <w:rFonts w:hint="default"/>
          <w:b/>
          <w:sz w:val="24"/>
          <w:szCs w:val="18"/>
        </w:rPr>
        <w:tab/>
      </w:r>
      <w:r>
        <w:rPr>
          <w:rFonts w:hint="default"/>
          <w:b/>
          <w:sz w:val="24"/>
          <w:szCs w:val="18"/>
        </w:rPr>
        <w:fldChar w:fldCharType="begin"/>
      </w:r>
      <w:r>
        <w:rPr>
          <w:rFonts w:hint="default"/>
          <w:b/>
          <w:sz w:val="24"/>
          <w:szCs w:val="18"/>
        </w:rPr>
        <w:instrText xml:space="preserve"> PAGEREF _Toc74753934 \h </w:instrText>
      </w:r>
      <w:r>
        <w:rPr>
          <w:rFonts w:hint="default"/>
          <w:b/>
          <w:sz w:val="24"/>
          <w:szCs w:val="18"/>
        </w:rPr>
        <w:fldChar w:fldCharType="separate"/>
      </w:r>
      <w:r>
        <w:rPr>
          <w:rFonts w:hint="default"/>
          <w:b/>
          <w:sz w:val="24"/>
          <w:szCs w:val="18"/>
        </w:rPr>
        <w:t>6</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"_Toc74753935" </w:instrText>
      </w:r>
      <w:r>
        <w:rPr>
          <w:rFonts w:hint="default"/>
          <w:b/>
          <w:sz w:val="24"/>
          <w:szCs w:val="18"/>
        </w:rPr>
        <w:fldChar w:fldCharType="separate"/>
      </w:r>
      <w:r>
        <w:rPr>
          <w:rFonts w:hint="eastAsia"/>
          <w:b/>
          <w:sz w:val="24"/>
          <w:szCs w:val="18"/>
        </w:rPr>
        <w:t>第三节</w:t>
      </w:r>
      <w:r>
        <w:rPr>
          <w:rFonts w:hint="default"/>
          <w:b/>
          <w:sz w:val="24"/>
          <w:szCs w:val="18"/>
        </w:rPr>
        <w:t xml:space="preserve"> </w:t>
      </w:r>
      <w:r>
        <w:rPr>
          <w:rFonts w:hint="eastAsia"/>
          <w:b/>
          <w:sz w:val="24"/>
          <w:szCs w:val="18"/>
        </w:rPr>
        <w:t>管理层讨论与分析</w:t>
      </w:r>
      <w:r>
        <w:rPr>
          <w:rFonts w:hint="default"/>
          <w:b/>
          <w:sz w:val="24"/>
          <w:szCs w:val="18"/>
        </w:rPr>
        <w:tab/>
      </w:r>
      <w:r>
        <w:rPr>
          <w:rFonts w:hint="default"/>
          <w:b/>
          <w:sz w:val="24"/>
          <w:szCs w:val="18"/>
        </w:rPr>
        <w:fldChar w:fldCharType="begin"/>
      </w:r>
      <w:r>
        <w:rPr>
          <w:rFonts w:hint="default"/>
          <w:b/>
          <w:sz w:val="24"/>
          <w:szCs w:val="18"/>
        </w:rPr>
        <w:instrText xml:space="preserve"> PAGEREF _Toc74753935 \h </w:instrText>
      </w:r>
      <w:r>
        <w:rPr>
          <w:rFonts w:hint="default"/>
          <w:b/>
          <w:sz w:val="24"/>
          <w:szCs w:val="18"/>
        </w:rPr>
        <w:fldChar w:fldCharType="separate"/>
      </w:r>
      <w:r>
        <w:rPr>
          <w:rFonts w:hint="default"/>
          <w:b/>
          <w:sz w:val="24"/>
          <w:szCs w:val="18"/>
        </w:rPr>
        <w:t>8</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"_Toc74753936" </w:instrText>
      </w:r>
      <w:r>
        <w:rPr>
          <w:rFonts w:hint="default"/>
          <w:b/>
          <w:sz w:val="24"/>
          <w:szCs w:val="18"/>
        </w:rPr>
        <w:fldChar w:fldCharType="separate"/>
      </w:r>
      <w:r>
        <w:rPr>
          <w:rFonts w:hint="eastAsia"/>
          <w:b/>
          <w:sz w:val="24"/>
          <w:szCs w:val="18"/>
        </w:rPr>
        <w:t>第四节</w:t>
      </w:r>
      <w:r>
        <w:rPr>
          <w:rFonts w:hint="default"/>
          <w:b/>
          <w:sz w:val="24"/>
          <w:szCs w:val="18"/>
        </w:rPr>
        <w:t xml:space="preserve"> </w:t>
      </w:r>
      <w:r>
        <w:rPr>
          <w:rFonts w:hint="eastAsia"/>
          <w:b/>
          <w:sz w:val="24"/>
          <w:szCs w:val="18"/>
        </w:rPr>
        <w:t>公司治理</w:t>
      </w:r>
      <w:r>
        <w:rPr>
          <w:rFonts w:hint="default"/>
          <w:b/>
          <w:sz w:val="24"/>
          <w:szCs w:val="18"/>
        </w:rPr>
        <w:tab/>
      </w:r>
      <w:r>
        <w:rPr>
          <w:rFonts w:hint="default"/>
          <w:b/>
          <w:sz w:val="24"/>
          <w:szCs w:val="18"/>
        </w:rPr>
        <w:fldChar w:fldCharType="begin"/>
      </w:r>
      <w:r>
        <w:rPr>
          <w:rFonts w:hint="default"/>
          <w:b/>
          <w:sz w:val="24"/>
          <w:szCs w:val="18"/>
        </w:rPr>
        <w:instrText xml:space="preserve"> PAGEREF _Toc74753936 </w:instrText>
      </w:r>
    </w:p>
    <w:p>
      <w:pPr>
        <w:tabs>
          <w:tab w:val="right" w:leader="dot" w:pos="9628"/>
        </w:tabs>
        <w:spacing w:before="180" w:beforeLines="0" w:after="180" w:afterLines="0"/>
        <w:rPr>
          <w:rFonts w:hint="default"/>
          <w:b/>
          <w:sz w:val="24"/>
          <w:szCs w:val="18"/>
        </w:rPr>
      </w:pPr>
      <w:r>
        <w:rPr>
          <w:rFonts w:hint="default"/>
          <w:b/>
          <w:sz w:val="24"/>
          <w:szCs w:val="18"/>
        </w:rPr>
        <w:fldChar w:fldCharType="separate"/>
      </w:r>
      <w:r>
        <w:rPr>
          <w:rFonts w:hint="default"/>
          <w:b/>
          <w:sz w:val="24"/>
          <w:szCs w:val="18"/>
        </w:rPr>
        <w:t>15</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"_Toc74753937" </w:instrText>
      </w:r>
      <w:r>
        <w:rPr>
          <w:rFonts w:hint="default"/>
          <w:b/>
          <w:sz w:val="24"/>
          <w:szCs w:val="18"/>
        </w:rPr>
        <w:fldChar w:fldCharType="separate"/>
      </w:r>
      <w:r>
        <w:rPr>
          <w:rFonts w:hint="eastAsia"/>
          <w:b/>
          <w:sz w:val="24"/>
          <w:szCs w:val="18"/>
        </w:rPr>
        <w:t>第五节</w:t>
      </w:r>
      <w:r>
        <w:rPr>
          <w:rFonts w:hint="default"/>
          <w:b/>
          <w:sz w:val="24"/>
          <w:szCs w:val="18"/>
        </w:rPr>
        <w:t xml:space="preserve"> </w:t>
      </w:r>
      <w:r>
        <w:rPr>
          <w:rFonts w:hint="eastAsia"/>
          <w:b/>
          <w:sz w:val="24"/>
          <w:szCs w:val="18"/>
        </w:rPr>
        <w:t>环境和社会责任</w:t>
      </w:r>
      <w:r>
        <w:rPr>
          <w:rFonts w:hint="default"/>
          <w:b/>
          <w:sz w:val="24"/>
          <w:szCs w:val="18"/>
        </w:rPr>
        <w:tab/>
      </w:r>
      <w:r>
        <w:rPr>
          <w:rFonts w:hint="default"/>
          <w:b/>
          <w:sz w:val="24"/>
          <w:szCs w:val="18"/>
        </w:rPr>
        <w:fldChar w:fldCharType="begin"/>
      </w:r>
      <w:r>
        <w:rPr>
          <w:rFonts w:hint="default"/>
          <w:b/>
          <w:sz w:val="24"/>
          <w:szCs w:val="18"/>
        </w:rPr>
        <w:instrText xml:space="preserve"> PAGEREF _Toc74753937 \h </w:instrText>
      </w:r>
      <w:r>
        <w:rPr>
          <w:rFonts w:hint="default"/>
          <w:b/>
          <w:sz w:val="24"/>
          <w:szCs w:val="18"/>
        </w:rPr>
        <w:fldChar w:fldCharType="separate"/>
      </w:r>
      <w:r>
        <w:rPr>
          <w:rFonts w:hint="default"/>
          <w:b/>
          <w:sz w:val="24"/>
          <w:szCs w:val="18"/>
        </w:rPr>
        <w:t>16</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"_Toc74753938" </w:instrText>
      </w:r>
      <w:r>
        <w:rPr>
          <w:rFonts w:hint="default"/>
          <w:b/>
          <w:sz w:val="24"/>
          <w:szCs w:val="18"/>
        </w:rPr>
        <w:fldChar w:fldCharType="separate"/>
      </w:r>
      <w:r>
        <w:rPr>
          <w:rFonts w:hint="eastAsia"/>
          <w:b/>
          <w:sz w:val="24"/>
          <w:szCs w:val="18"/>
        </w:rPr>
        <w:t>第六节</w:t>
      </w:r>
      <w:r>
        <w:rPr>
          <w:rFonts w:hint="default"/>
          <w:b/>
          <w:sz w:val="24"/>
          <w:szCs w:val="18"/>
        </w:rPr>
        <w:t xml:space="preserve"> </w:t>
      </w:r>
      <w:r>
        <w:rPr>
          <w:rFonts w:hint="eastAsia"/>
          <w:b/>
          <w:sz w:val="24"/>
          <w:szCs w:val="18"/>
        </w:rPr>
        <w:t>重要事项</w:t>
      </w:r>
      <w:r>
        <w:rPr>
          <w:rFonts w:hint="default"/>
          <w:b/>
          <w:sz w:val="24"/>
          <w:szCs w:val="18"/>
        </w:rPr>
        <w:tab/>
      </w:r>
      <w:r>
        <w:rPr>
          <w:rFonts w:hint="default"/>
          <w:b/>
          <w:sz w:val="24"/>
          <w:szCs w:val="18"/>
        </w:rPr>
        <w:fldChar w:fldCharType="begin"/>
      </w:r>
      <w:r>
        <w:rPr>
          <w:rFonts w:hint="default"/>
          <w:b/>
          <w:sz w:val="24"/>
          <w:szCs w:val="18"/>
        </w:rPr>
        <w:instrText xml:space="preserve"> PAGEREF _Toc74753938 </w:instrText>
      </w:r>
    </w:p>
    <w:p>
      <w:pPr>
        <w:tabs>
          <w:tab w:val="right" w:leader="dot" w:pos="9628"/>
        </w:tabs>
        <w:spacing w:before="180" w:beforeLines="0" w:after="180" w:afterLines="0"/>
        <w:rPr>
          <w:rFonts w:hint="default"/>
          <w:b/>
          <w:sz w:val="24"/>
          <w:szCs w:val="18"/>
        </w:rPr>
      </w:pPr>
      <w:r>
        <w:rPr>
          <w:rFonts w:hint="default"/>
          <w:b/>
          <w:sz w:val="24"/>
          <w:szCs w:val="18"/>
        </w:rPr>
        <w:fldChar w:fldCharType="separate"/>
      </w:r>
      <w:r>
        <w:rPr>
          <w:rFonts w:hint="default"/>
          <w:b/>
          <w:sz w:val="24"/>
          <w:szCs w:val="18"/>
        </w:rPr>
        <w:t>17</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"_Toc74753939" </w:instrText>
      </w:r>
      <w:r>
        <w:rPr>
          <w:rFonts w:hint="default"/>
          <w:b/>
          <w:sz w:val="24"/>
          <w:szCs w:val="18"/>
        </w:rPr>
        <w:fldChar w:fldCharType="separate"/>
      </w:r>
      <w:r>
        <w:rPr>
          <w:rFonts w:hint="eastAsia"/>
          <w:b/>
          <w:sz w:val="24"/>
          <w:szCs w:val="18"/>
        </w:rPr>
        <w:t>第七节</w:t>
      </w:r>
      <w:r>
        <w:rPr>
          <w:rFonts w:hint="default"/>
          <w:b/>
          <w:sz w:val="24"/>
          <w:szCs w:val="18"/>
        </w:rPr>
        <w:t xml:space="preserve"> </w:t>
      </w:r>
      <w:r>
        <w:rPr>
          <w:rFonts w:hint="eastAsia"/>
          <w:b/>
          <w:sz w:val="24"/>
          <w:szCs w:val="18"/>
        </w:rPr>
        <w:t>股份变动及股东情况</w:t>
      </w:r>
      <w:r>
        <w:rPr>
          <w:rFonts w:hint="default"/>
          <w:b/>
          <w:sz w:val="24"/>
          <w:szCs w:val="18"/>
        </w:rPr>
        <w:tab/>
      </w:r>
      <w:r>
        <w:rPr>
          <w:rFonts w:hint="default"/>
          <w:b/>
          <w:sz w:val="24"/>
          <w:szCs w:val="18"/>
        </w:rPr>
        <w:fldChar w:fldCharType="begin"/>
      </w:r>
      <w:r>
        <w:rPr>
          <w:rFonts w:hint="default"/>
          <w:b/>
          <w:sz w:val="24"/>
          <w:szCs w:val="18"/>
        </w:rPr>
        <w:instrText xml:space="preserve"> PAGEREF _Toc74753939 \h </w:instrText>
      </w:r>
      <w:r>
        <w:rPr>
          <w:rFonts w:hint="default"/>
          <w:b/>
          <w:sz w:val="24"/>
          <w:szCs w:val="18"/>
        </w:rPr>
        <w:fldChar w:fldCharType="separate"/>
      </w:r>
      <w:r>
        <w:rPr>
          <w:rFonts w:hint="default"/>
          <w:b/>
          <w:sz w:val="24"/>
          <w:szCs w:val="18"/>
        </w:rPr>
        <w:t>20</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"_Toc74753940" </w:instrText>
      </w:r>
      <w:r>
        <w:rPr>
          <w:rFonts w:hint="default"/>
          <w:b/>
          <w:sz w:val="24"/>
          <w:szCs w:val="18"/>
        </w:rPr>
        <w:fldChar w:fldCharType="separate"/>
      </w:r>
      <w:r>
        <w:rPr>
          <w:rFonts w:hint="eastAsia"/>
          <w:b/>
          <w:sz w:val="24"/>
          <w:szCs w:val="18"/>
        </w:rPr>
        <w:t>第八节</w:t>
      </w:r>
      <w:r>
        <w:rPr>
          <w:rFonts w:hint="default"/>
          <w:b/>
          <w:sz w:val="24"/>
          <w:szCs w:val="18"/>
        </w:rPr>
        <w:t xml:space="preserve"> </w:t>
      </w:r>
      <w:r>
        <w:rPr>
          <w:rFonts w:hint="eastAsia"/>
          <w:b/>
          <w:sz w:val="24"/>
          <w:szCs w:val="18"/>
        </w:rPr>
        <w:t>优先股相关情况</w:t>
      </w:r>
      <w:r>
        <w:rPr>
          <w:rFonts w:hint="default"/>
          <w:b/>
          <w:sz w:val="24"/>
          <w:szCs w:val="18"/>
        </w:rPr>
        <w:tab/>
      </w:r>
      <w:r>
        <w:rPr>
          <w:rFonts w:hint="default"/>
          <w:b/>
          <w:sz w:val="24"/>
          <w:szCs w:val="18"/>
        </w:rPr>
        <w:fldChar w:fldCharType="begin"/>
      </w:r>
      <w:r>
        <w:rPr>
          <w:rFonts w:hint="default"/>
          <w:b/>
          <w:sz w:val="24"/>
          <w:szCs w:val="18"/>
        </w:rPr>
        <w:instrText xml:space="preserve"> PAGEREF _Toc74753940 \h </w:instrText>
      </w:r>
      <w:r>
        <w:rPr>
          <w:rFonts w:hint="default"/>
          <w:b/>
          <w:sz w:val="24"/>
          <w:szCs w:val="18"/>
        </w:rPr>
        <w:fldChar w:fldCharType="separate"/>
      </w:r>
      <w:r>
        <w:rPr>
          <w:rFonts w:hint="default"/>
          <w:b/>
          <w:sz w:val="24"/>
          <w:szCs w:val="18"/>
        </w:rPr>
        <w:t>22</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"_Toc74753941" </w:instrText>
      </w:r>
      <w:r>
        <w:rPr>
          <w:rFonts w:hint="default"/>
          <w:b/>
          <w:sz w:val="24"/>
          <w:szCs w:val="18"/>
        </w:rPr>
        <w:fldChar w:fldCharType="separate"/>
      </w:r>
      <w:r>
        <w:rPr>
          <w:rFonts w:hint="eastAsia"/>
          <w:b/>
          <w:sz w:val="24"/>
          <w:szCs w:val="18"/>
        </w:rPr>
        <w:t>第九节</w:t>
      </w:r>
      <w:r>
        <w:rPr>
          <w:rFonts w:hint="default"/>
          <w:b/>
          <w:sz w:val="24"/>
          <w:szCs w:val="18"/>
        </w:rPr>
        <w:t xml:space="preserve"> </w:t>
      </w:r>
      <w:r>
        <w:rPr>
          <w:rFonts w:hint="eastAsia"/>
          <w:b/>
          <w:sz w:val="24"/>
          <w:szCs w:val="18"/>
        </w:rPr>
        <w:t>债券相关情况</w:t>
      </w:r>
      <w:r>
        <w:rPr>
          <w:rFonts w:hint="default"/>
          <w:b/>
          <w:sz w:val="24"/>
          <w:szCs w:val="18"/>
        </w:rPr>
        <w:tab/>
      </w:r>
      <w:r>
        <w:rPr>
          <w:rFonts w:hint="default"/>
          <w:b/>
          <w:sz w:val="24"/>
          <w:szCs w:val="18"/>
        </w:rPr>
        <w:fldChar w:fldCharType="begin"/>
      </w:r>
      <w:r>
        <w:rPr>
          <w:rFonts w:hint="default"/>
          <w:b/>
          <w:sz w:val="24"/>
          <w:szCs w:val="18"/>
        </w:rPr>
        <w:instrText xml:space="preserve"> PAGEREF _Toc74753941 \h </w:instrText>
      </w:r>
      <w:r>
        <w:rPr>
          <w:rFonts w:hint="default"/>
          <w:b/>
          <w:sz w:val="24"/>
          <w:szCs w:val="18"/>
        </w:rPr>
        <w:fldChar w:fldCharType="separate"/>
      </w:r>
      <w:r>
        <w:rPr>
          <w:rFonts w:hint="default"/>
          <w:b/>
          <w:sz w:val="24"/>
          <w:szCs w:val="18"/>
        </w:rPr>
        <w:t>23</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b/>
          <w:sz w:val="24"/>
          <w:szCs w:val="18"/>
        </w:rPr>
      </w:pPr>
      <w:r>
        <w:rPr>
          <w:rFonts w:hint="default"/>
          <w:b/>
          <w:sz w:val="24"/>
          <w:szCs w:val="18"/>
        </w:rPr>
        <w:fldChar w:fldCharType="begin"/>
      </w:r>
      <w:r>
        <w:rPr>
          <w:rFonts w:hint="default"/>
          <w:b/>
          <w:sz w:val="24"/>
          <w:szCs w:val="18"/>
        </w:rPr>
        <w:instrText xml:space="preserve"> HYPERLINK \l "_Toc74753942" </w:instrText>
      </w:r>
      <w:r>
        <w:rPr>
          <w:rFonts w:hint="default"/>
          <w:b/>
          <w:sz w:val="24"/>
          <w:szCs w:val="18"/>
        </w:rPr>
        <w:fldChar w:fldCharType="separate"/>
      </w:r>
      <w:r>
        <w:rPr>
          <w:rFonts w:hint="eastAsia"/>
          <w:b/>
          <w:sz w:val="24"/>
          <w:szCs w:val="18"/>
        </w:rPr>
        <w:t>第十节</w:t>
      </w:r>
      <w:r>
        <w:rPr>
          <w:rFonts w:hint="default"/>
          <w:b/>
          <w:sz w:val="24"/>
          <w:szCs w:val="18"/>
        </w:rPr>
        <w:t xml:space="preserve"> </w:t>
      </w:r>
      <w:r>
        <w:rPr>
          <w:rFonts w:hint="eastAsia"/>
          <w:b/>
          <w:sz w:val="24"/>
          <w:szCs w:val="18"/>
        </w:rPr>
        <w:t>财务报告</w:t>
      </w:r>
      <w:r>
        <w:rPr>
          <w:rFonts w:hint="default"/>
          <w:b/>
          <w:sz w:val="24"/>
          <w:szCs w:val="18"/>
        </w:rPr>
        <w:tab/>
      </w:r>
      <w:r>
        <w:rPr>
          <w:rFonts w:hint="default"/>
          <w:b/>
          <w:sz w:val="24"/>
          <w:szCs w:val="18"/>
        </w:rPr>
        <w:fldChar w:fldCharType="begin"/>
      </w:r>
      <w:r>
        <w:rPr>
          <w:rFonts w:hint="default"/>
          <w:b/>
          <w:sz w:val="24"/>
          <w:szCs w:val="18"/>
        </w:rPr>
        <w:instrText xml:space="preserve"> PAGEREF _Toc74753942 </w:instrText>
      </w:r>
    </w:p>
    <w:p>
      <w:pPr>
        <w:tabs>
          <w:tab w:val="right" w:leader="dot" w:pos="9628"/>
        </w:tabs>
        <w:spacing w:before="180" w:beforeLines="0" w:after="180" w:afterLines="0"/>
        <w:rPr>
          <w:rFonts w:hint="default"/>
          <w:sz w:val="18"/>
          <w:szCs w:val="18"/>
        </w:rPr>
      </w:pPr>
      <w:r>
        <w:rPr>
          <w:rFonts w:hint="default"/>
          <w:b/>
          <w:sz w:val="24"/>
          <w:szCs w:val="18"/>
        </w:rPr>
        <w:fldChar w:fldCharType="separate"/>
      </w:r>
      <w:r>
        <w:rPr>
          <w:rFonts w:hint="default"/>
          <w:b/>
          <w:sz w:val="24"/>
          <w:szCs w:val="18"/>
        </w:rPr>
        <w:t>26</w:t>
      </w:r>
      <w:r>
        <w:rPr>
          <w:rFonts w:hint="default"/>
          <w:b/>
          <w:sz w:val="24"/>
          <w:szCs w:val="18"/>
        </w:rPr>
        <w:fldChar w:fldCharType="end"/>
      </w:r>
      <w:r>
        <w:rPr>
          <w:rFonts w:hint="default"/>
          <w:b/>
          <w:sz w:val="24"/>
          <w:szCs w:val="18"/>
        </w:rPr>
        <w:fldChar w:fldCharType="end"/>
      </w:r>
    </w:p>
    <w:p>
      <w:pPr>
        <w:tabs>
          <w:tab w:val="right" w:leader="dot" w:pos="9628"/>
        </w:tabs>
        <w:spacing w:before="180" w:beforeLines="0" w:after="180" w:afterLines="0"/>
        <w:rPr>
          <w:rFonts w:hint="default"/>
          <w:sz w:val="18"/>
          <w:szCs w:val="18"/>
        </w:rPr>
        <w:sectPr>
          <w:pgSz w:w="11906" w:h="16838"/>
          <w:pgMar w:top="1440" w:right="1134" w:bottom="1440" w:left="1134" w:header="851" w:footer="992" w:gutter="0"/>
          <w:lnNumType w:countBy="0" w:distance="360"/>
          <w:cols w:space="720" w:num="1"/>
          <w:docGrid w:type="lines" w:linePitch="312" w:charSpace="0"/>
        </w:sectPr>
      </w:pPr>
      <w:r>
        <w:rPr>
          <w:rFonts w:hint="default"/>
          <w:sz w:val="18"/>
          <w:szCs w:val="18"/>
        </w:rPr>
        <w:fldChar w:fldCharType="end"/>
      </w:r>
    </w:p>
    <w:p>
      <w:pPr>
        <w:spacing w:before="700" w:beforeLines="0" w:after="700" w:afterLines="0"/>
        <w:jc w:val="center"/>
        <w:rPr>
          <w:rFonts w:hint="default"/>
          <w:b/>
          <w:sz w:val="32"/>
          <w:szCs w:val="24"/>
        </w:rPr>
      </w:pPr>
      <w:r>
        <w:rPr>
          <w:rFonts w:hint="eastAsia"/>
          <w:b/>
          <w:sz w:val="32"/>
          <w:szCs w:val="24"/>
        </w:rPr>
        <w:t>备查文件目录</w:t>
      </w:r>
    </w:p>
    <w:p>
      <w:pPr>
        <w:spacing w:beforeLines="0" w:afterLines="0"/>
        <w:jc w:val="left"/>
        <w:rPr>
          <w:rFonts w:hint="default"/>
          <w:sz w:val="18"/>
          <w:szCs w:val="24"/>
        </w:rPr>
      </w:pPr>
      <w:r>
        <w:rPr>
          <w:rFonts w:hint="eastAsia"/>
          <w:sz w:val="18"/>
          <w:szCs w:val="24"/>
        </w:rPr>
        <w:t>一、载有公司法定代表人、主管会计工作负责人、会计机构负责人签名并盖章的财务报表；</w:t>
      </w:r>
    </w:p>
    <w:p>
      <w:pPr>
        <w:spacing w:beforeLines="0" w:afterLines="0"/>
        <w:jc w:val="left"/>
        <w:rPr>
          <w:rFonts w:hint="default"/>
          <w:sz w:val="18"/>
          <w:szCs w:val="24"/>
        </w:rPr>
      </w:pPr>
      <w:r>
        <w:rPr>
          <w:rFonts w:hint="eastAsia"/>
          <w:sz w:val="18"/>
          <w:szCs w:val="24"/>
        </w:rPr>
        <w:t>二、载有公司法定代表人签名并盖章的年度报告文本；</w:t>
      </w:r>
    </w:p>
    <w:p>
      <w:pPr>
        <w:spacing w:beforeLines="0" w:afterLines="0"/>
        <w:jc w:val="left"/>
        <w:rPr>
          <w:rFonts w:hint="default"/>
          <w:sz w:val="18"/>
          <w:szCs w:val="24"/>
        </w:rPr>
      </w:pPr>
      <w:r>
        <w:rPr>
          <w:rFonts w:hint="eastAsia"/>
          <w:sz w:val="18"/>
          <w:szCs w:val="24"/>
        </w:rPr>
        <w:t>三、报告期内在中国证监会指定报纸和网站上披露过的所有公司文件的正本及公告的原稿。</w:t>
      </w:r>
    </w:p>
    <w:p>
      <w:pPr>
        <w:spacing w:beforeLines="0" w:afterLines="0"/>
        <w:jc w:val="left"/>
        <w:rPr>
          <w:rFonts w:hint="default"/>
          <w:sz w:val="18"/>
          <w:szCs w:val="24"/>
        </w:rPr>
      </w:pPr>
      <w:r>
        <w:rPr>
          <w:rFonts w:hint="eastAsia"/>
          <w:sz w:val="18"/>
          <w:szCs w:val="24"/>
        </w:rPr>
        <w:t>以上备查文件的备置地点：公司董事会办公室</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spacing w:before="700" w:beforeLines="0" w:after="700" w:afterLines="0"/>
        <w:jc w:val="center"/>
        <w:rPr>
          <w:rFonts w:hint="default"/>
          <w:b/>
          <w:sz w:val="32"/>
          <w:szCs w:val="24"/>
        </w:rPr>
      </w:pPr>
      <w:r>
        <w:rPr>
          <w:rFonts w:hint="eastAsia"/>
          <w:b/>
          <w:sz w:val="32"/>
          <w:szCs w:val="24"/>
        </w:rPr>
        <w:t>释义</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4"/>
        <w:gridCol w:w="621"/>
        <w:gridCol w:w="5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释义项</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释义内容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伟隆股份、公司、本公司</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控股股东</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实际控制人</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范庆伟、范玉隆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惠隆企管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本公司股东，江西惠隆企业管理有限公司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本公司全资子公司，莱州伟隆阀门有限公司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伟隆五金</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本公司全资子公司，青岛伟隆五金机械有限公司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英国伟隆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本公司全资子公司，伟隆阀门有限公司（</w:t>
            </w:r>
            <w:r>
              <w:rPr>
                <w:rFonts w:hint="default"/>
                <w:sz w:val="18"/>
                <w:szCs w:val="24"/>
              </w:rPr>
              <w:t>WEFLO VALVE COMPANY LIMITED</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美国伟隆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本公司全资子公司，伟隆阀门有限公司（</w:t>
            </w:r>
            <w:r>
              <w:rPr>
                <w:rFonts w:hint="default"/>
                <w:sz w:val="18"/>
                <w:szCs w:val="24"/>
              </w:rPr>
              <w:t>WEFLO VALVE LLC</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伟隆流体</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本公司全资子公司，青岛伟隆流体设备有限公司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即聚机电</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本公司全资子公司，青岛即聚机电有限责任公司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卓信检测</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本公司全资子公司，青岛卓信检测技术有限责任公司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香港伟隆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本公司全资子公司，伟隆（香港）实业有限公司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保荐机构、主承销商</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宏信证券有限责任公司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审计机构、申报会计师、山东和信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A</w:t>
            </w:r>
            <w:r>
              <w:rPr>
                <w:rFonts w:hint="eastAsia"/>
                <w:sz w:val="18"/>
                <w:szCs w:val="24"/>
              </w:rPr>
              <w:t>股</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在中国境内上市的人民币普通股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股东大会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青岛伟隆阀门股份有限公司股东大会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青岛伟隆阀门股份有限公司董事会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青岛伟隆阀门股份有限公司监事会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公司章程</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青岛伟隆阀门股份有限公司章程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《公司法》</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《中华人民共和国公司法》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《证券法》</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《中华人民共和国证券法》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中国证监会、证监会</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中国证券监督管理委员会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深交所、交易所</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元、万元</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人民币元、人民币万元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报告期、本报告期</w:t>
            </w:r>
          </w:p>
        </w:tc>
        <w:tc>
          <w:tcPr>
            <w:tcW w:w="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w:t>
            </w:r>
          </w:p>
        </w:tc>
        <w:tc>
          <w:tcPr>
            <w:tcW w:w="54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bl>
    <w:p>
      <w:pPr>
        <w:spacing w:beforeLines="0" w:afterLines="0"/>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1" w:name="_Toc300000085"/>
      <w:r>
        <w:rPr>
          <w:rFonts w:hint="eastAsia"/>
          <w:sz w:val="32"/>
          <w:szCs w:val="24"/>
        </w:rPr>
        <w:t>第二节</w:t>
      </w:r>
      <w:r>
        <w:rPr>
          <w:rFonts w:hint="default"/>
          <w:sz w:val="32"/>
          <w:szCs w:val="24"/>
        </w:rPr>
        <w:t xml:space="preserve"> </w:t>
      </w:r>
      <w:r>
        <w:rPr>
          <w:rFonts w:hint="eastAsia"/>
          <w:sz w:val="32"/>
          <w:szCs w:val="24"/>
        </w:rPr>
        <w:t>公司简介和主要财务指标</w:t>
      </w:r>
      <w:bookmarkEnd w:id="1"/>
    </w:p>
    <w:p>
      <w:pPr>
        <w:pStyle w:val="6"/>
        <w:spacing w:beforeLines="0" w:afterLines="0"/>
        <w:outlineLvl w:val="1"/>
        <w:rPr>
          <w:rFonts w:hint="default"/>
          <w:sz w:val="24"/>
          <w:szCs w:val="24"/>
        </w:rPr>
      </w:pPr>
      <w:r>
        <w:rPr>
          <w:rFonts w:hint="eastAsia"/>
          <w:sz w:val="24"/>
          <w:szCs w:val="24"/>
        </w:rPr>
        <w:t>一、公司信息</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4"/>
        <w:gridCol w:w="2953"/>
        <w:gridCol w:w="2156"/>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股票简称</w:t>
            </w:r>
          </w:p>
        </w:tc>
        <w:tc>
          <w:tcPr>
            <w:tcW w:w="29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伟隆股份</w:t>
            </w:r>
          </w:p>
        </w:tc>
        <w:tc>
          <w:tcPr>
            <w:tcW w:w="21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股票代码</w:t>
            </w:r>
          </w:p>
        </w:tc>
        <w:tc>
          <w:tcPr>
            <w:tcW w:w="21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002871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股票上市证券交易所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公司的中文名称</w:t>
            </w:r>
          </w:p>
        </w:tc>
        <w:tc>
          <w:tcPr>
            <w:tcW w:w="7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r>
              <w:rPr>
                <w:rFonts w:hint="eastAsia"/>
                <w:sz w:val="18"/>
                <w:szCs w:val="24"/>
              </w:rPr>
              <w:t>青岛伟隆阀门股份有限公司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公司的中文简称</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公司的外文名称（如有）</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QINGDAO WEFLO VALVE CO., LTD.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公司的外文名称缩写（如有）</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公司的法定代表人</w:t>
            </w:r>
          </w:p>
        </w:tc>
        <w:tc>
          <w:tcPr>
            <w:tcW w:w="728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r>
              <w:rPr>
                <w:rFonts w:hint="eastAsia"/>
                <w:sz w:val="18"/>
                <w:szCs w:val="24"/>
              </w:rPr>
              <w:t>范庆伟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注册地址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青岛即墨市蓝村镇兴和路</w:t>
            </w:r>
            <w:r>
              <w:rPr>
                <w:rFonts w:hint="default"/>
                <w:sz w:val="18"/>
                <w:szCs w:val="24"/>
              </w:rPr>
              <w:t>45</w:t>
            </w:r>
            <w:r>
              <w:rPr>
                <w:rFonts w:hint="eastAsia"/>
                <w:sz w:val="18"/>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注册地址的邮政编码</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266232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公司注册地址历史变更情况</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办公地址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青岛市高新区春阳路</w:t>
            </w:r>
            <w:r>
              <w:rPr>
                <w:rFonts w:hint="default"/>
                <w:sz w:val="18"/>
                <w:szCs w:val="24"/>
              </w:rPr>
              <w:t>789</w:t>
            </w:r>
            <w:r>
              <w:rPr>
                <w:rFonts w:hint="eastAsia"/>
                <w:sz w:val="18"/>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办公地址的邮政编码</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266000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公司网址</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www.weilongvalve.com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电子信箱</w:t>
            </w:r>
          </w:p>
        </w:tc>
        <w:tc>
          <w:tcPr>
            <w:tcW w:w="7285"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Liu.k.p@weflovalve.com</w:t>
            </w:r>
          </w:p>
        </w:tc>
      </w:tr>
    </w:tbl>
    <w:p>
      <w:pPr>
        <w:pStyle w:val="6"/>
        <w:spacing w:beforeLines="0" w:afterLines="0"/>
        <w:outlineLvl w:val="1"/>
        <w:rPr>
          <w:rFonts w:hint="default"/>
          <w:sz w:val="24"/>
          <w:szCs w:val="24"/>
        </w:rPr>
      </w:pPr>
      <w:r>
        <w:rPr>
          <w:rFonts w:hint="eastAsia"/>
          <w:sz w:val="24"/>
          <w:szCs w:val="24"/>
        </w:rPr>
        <w:t>二、联系人和联系方式</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董事会秘书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证券事务代表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姓名</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刘克平</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赵翔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联系地址</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青岛市高新区春阳路</w:t>
            </w:r>
            <w:r>
              <w:rPr>
                <w:rFonts w:hint="default"/>
                <w:sz w:val="18"/>
                <w:szCs w:val="24"/>
              </w:rPr>
              <w:t>789</w:t>
            </w:r>
            <w:r>
              <w:rPr>
                <w:rFonts w:hint="eastAsia"/>
                <w:sz w:val="18"/>
                <w:szCs w:val="24"/>
              </w:rPr>
              <w:t>号伟隆股份</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青岛市高新区春阳路</w:t>
            </w:r>
            <w:r>
              <w:rPr>
                <w:rFonts w:hint="default"/>
                <w:sz w:val="18"/>
                <w:szCs w:val="24"/>
              </w:rPr>
              <w:t>789</w:t>
            </w:r>
            <w:r>
              <w:rPr>
                <w:rFonts w:hint="eastAsia"/>
                <w:sz w:val="18"/>
                <w:szCs w:val="24"/>
              </w:rPr>
              <w:t>号伟隆股份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电话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0532-87901466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0532-87901466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传真</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0532-87901466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0532-87901466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电子信箱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Liu.k.p@weflovalve.com</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Zhao.xiang@weflovalve.com</w:t>
            </w:r>
          </w:p>
        </w:tc>
      </w:tr>
    </w:tbl>
    <w:p>
      <w:pPr>
        <w:pStyle w:val="6"/>
        <w:spacing w:beforeLines="0" w:afterLines="0"/>
        <w:outlineLvl w:val="1"/>
        <w:rPr>
          <w:rFonts w:hint="default"/>
          <w:sz w:val="24"/>
          <w:szCs w:val="24"/>
        </w:rPr>
      </w:pPr>
      <w:r>
        <w:rPr>
          <w:rFonts w:hint="eastAsia"/>
          <w:sz w:val="24"/>
          <w:szCs w:val="24"/>
        </w:rPr>
        <w:t>三、信息披露及备置地点</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92"/>
        <w:gridCol w:w="5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公司披露年度报告的证券交易所网站</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深圳证券交易所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公司披露年度报告的媒体名称及网址</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“中国证券报”、“证券时报”、“证券日报”及巨潮资讯网（</w:t>
            </w:r>
            <w:r>
              <w:rPr>
                <w:rFonts w:hint="default"/>
                <w:sz w:val="18"/>
                <w:szCs w:val="24"/>
              </w:rPr>
              <w:t>http://www.cninfo.com.cn</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公司年度报告备置地点</w:t>
            </w:r>
          </w:p>
        </w:tc>
        <w:tc>
          <w:tcPr>
            <w:tcW w:w="5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公司董事会办公室</w:t>
            </w:r>
          </w:p>
        </w:tc>
      </w:tr>
    </w:tbl>
    <w:p>
      <w:pPr>
        <w:pStyle w:val="6"/>
        <w:spacing w:beforeLines="0" w:afterLines="0"/>
        <w:outlineLvl w:val="1"/>
        <w:rPr>
          <w:rFonts w:hint="default"/>
          <w:sz w:val="24"/>
          <w:szCs w:val="24"/>
        </w:rPr>
      </w:pPr>
      <w:r>
        <w:rPr>
          <w:rFonts w:hint="eastAsia"/>
          <w:sz w:val="24"/>
          <w:szCs w:val="24"/>
        </w:rPr>
        <w:t>四、注册变更情况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6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组织机构代码</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公司上市以来主营业务的变化情况（如有）</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历次控股股东的变更情况（如有）</w:t>
            </w:r>
          </w:p>
        </w:tc>
        <w:tc>
          <w:tcPr>
            <w:tcW w:w="63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无变更</w:t>
            </w:r>
          </w:p>
        </w:tc>
      </w:tr>
    </w:tbl>
    <w:p>
      <w:pPr>
        <w:pStyle w:val="6"/>
        <w:spacing w:beforeLines="0" w:afterLines="0"/>
        <w:outlineLvl w:val="1"/>
        <w:rPr>
          <w:rFonts w:hint="default"/>
          <w:sz w:val="24"/>
          <w:szCs w:val="24"/>
        </w:rPr>
      </w:pPr>
      <w:r>
        <w:rPr>
          <w:rFonts w:hint="eastAsia"/>
          <w:sz w:val="24"/>
          <w:szCs w:val="24"/>
        </w:rPr>
        <w:t>五、其他有关资料</w:t>
      </w:r>
    </w:p>
    <w:p>
      <w:pPr>
        <w:spacing w:beforeLines="0" w:afterLines="0"/>
        <w:jc w:val="left"/>
        <w:rPr>
          <w:rFonts w:hint="default"/>
          <w:sz w:val="18"/>
          <w:szCs w:val="24"/>
        </w:rPr>
      </w:pPr>
      <w:r>
        <w:rPr>
          <w:rFonts w:hint="eastAsia"/>
          <w:sz w:val="18"/>
          <w:szCs w:val="24"/>
        </w:rPr>
        <w:t>公司聘请的会计师事务所</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2"/>
        <w:gridCol w:w="6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会计师事务所名称</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会计师事务所办公地址</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济南市历下区文化东路</w:t>
            </w:r>
            <w:r>
              <w:rPr>
                <w:rFonts w:hint="default"/>
                <w:sz w:val="18"/>
                <w:szCs w:val="24"/>
              </w:rPr>
              <w:t>59</w:t>
            </w:r>
            <w:r>
              <w:rPr>
                <w:rFonts w:hint="eastAsia"/>
                <w:sz w:val="18"/>
                <w:szCs w:val="24"/>
              </w:rPr>
              <w:t>号盐业大厦</w:t>
            </w:r>
            <w:r>
              <w:rPr>
                <w:rFonts w:hint="default"/>
                <w:sz w:val="18"/>
                <w:szCs w:val="24"/>
              </w:rPr>
              <w:t>7</w:t>
            </w:r>
            <w:r>
              <w:rPr>
                <w:rFonts w:hint="eastAsia"/>
                <w:sz w:val="18"/>
                <w:szCs w:val="24"/>
              </w:rPr>
              <w:t>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签字会计师姓名</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刘学伟、李胜</w:t>
            </w:r>
          </w:p>
        </w:tc>
      </w:tr>
    </w:tbl>
    <w:p>
      <w:pPr>
        <w:spacing w:beforeLines="0" w:afterLines="0"/>
        <w:jc w:val="left"/>
        <w:rPr>
          <w:rFonts w:hint="default"/>
          <w:sz w:val="18"/>
          <w:szCs w:val="24"/>
        </w:rPr>
      </w:pPr>
      <w:r>
        <w:rPr>
          <w:rFonts w:hint="eastAsia"/>
          <w:sz w:val="18"/>
          <w:szCs w:val="24"/>
        </w:rPr>
        <w:t>公司聘请的报告期内履行持续督导职责的保荐机构</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公司聘请的报告期内履行持续督导职责的财务顾问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六、主要会计数据和财务指标</w:t>
      </w:r>
    </w:p>
    <w:p>
      <w:pPr>
        <w:spacing w:beforeLines="0" w:afterLines="0"/>
        <w:jc w:val="left"/>
        <w:rPr>
          <w:rFonts w:hint="default"/>
          <w:sz w:val="18"/>
          <w:szCs w:val="24"/>
        </w:rPr>
      </w:pPr>
      <w:r>
        <w:rPr>
          <w:rFonts w:hint="eastAsia"/>
          <w:sz w:val="18"/>
          <w:szCs w:val="24"/>
        </w:rPr>
        <w:t>公司是否需追溯调整或重述以前年度会计数据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1"/>
        <w:gridCol w:w="1738"/>
        <w:gridCol w:w="1737"/>
        <w:gridCol w:w="1737"/>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本年比上年增减</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2019</w:t>
            </w:r>
            <w:r>
              <w:rPr>
                <w:rFonts w:hint="eastAsia"/>
                <w:sz w:val="18"/>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20.48%</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355,225,906.74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归属于上市公司股东的净利润（元）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5.22%</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52,983,867.54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归属于上市公司股东的扣除非经常性损益的净利润（元）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46,847,689.25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42,433,709.05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10.40%</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42,611,653.26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11,387,329.51</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89,946,129.75</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-87.34%</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132,922,717.03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基本每股收益（元</w:t>
            </w:r>
            <w:r>
              <w:rPr>
                <w:rFonts w:hint="default"/>
                <w:sz w:val="18"/>
                <w:szCs w:val="24"/>
              </w:rPr>
              <w:t>/</w:t>
            </w:r>
            <w:r>
              <w:rPr>
                <w:rFonts w:hint="eastAsia"/>
                <w:sz w:val="18"/>
                <w:szCs w:val="24"/>
              </w:rPr>
              <w:t>股）</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5.88%</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稀释每股收益（元</w:t>
            </w:r>
            <w:r>
              <w:rPr>
                <w:rFonts w:hint="default"/>
                <w:sz w:val="18"/>
                <w:szCs w:val="24"/>
              </w:rPr>
              <w:t>/</w:t>
            </w:r>
            <w:r>
              <w:rPr>
                <w:rFonts w:hint="eastAsia"/>
                <w:sz w:val="18"/>
                <w:szCs w:val="24"/>
              </w:rPr>
              <w:t>股）</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5.88%</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加权平均净资产收益率</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0.86%</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年末</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年末</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本年末比上年末增减</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2019</w:t>
            </w:r>
            <w:r>
              <w:rPr>
                <w:rFonts w:hint="eastAsia"/>
                <w:sz w:val="18"/>
                <w:szCs w:val="24"/>
              </w:rPr>
              <w:t>年末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总资产（元）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889,880,540.36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869,664,922.77</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799,909,010.24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归属于上市公司股东的净资产（元）</w:t>
            </w:r>
          </w:p>
        </w:tc>
        <w:tc>
          <w:tcPr>
            <w:tcW w:w="173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17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r>
    </w:tbl>
    <w:p>
      <w:pPr>
        <w:spacing w:beforeLines="0" w:afterLines="0"/>
        <w:jc w:val="left"/>
        <w:rPr>
          <w:rFonts w:hint="default"/>
          <w:sz w:val="18"/>
          <w:szCs w:val="24"/>
        </w:rPr>
      </w:pPr>
      <w:r>
        <w:rPr>
          <w:rFonts w:hint="eastAsia"/>
          <w:sz w:val="18"/>
          <w:szCs w:val="24"/>
        </w:rPr>
        <w:t>公司最近三个会计年度扣除非经常性损益前后净利润孰低者均为负值，且最近一年审计报告显示公司持续经营能力存在不确定性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扣除非经常损益前后的净利润孰低者为负值</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七、境内外会计准则下会计数据差异</w:t>
      </w:r>
    </w:p>
    <w:p>
      <w:pPr>
        <w:pStyle w:val="7"/>
        <w:spacing w:beforeLines="0" w:afterLines="0"/>
        <w:outlineLvl w:val="2"/>
        <w:rPr>
          <w:rFonts w:hint="default"/>
          <w:sz w:val="21"/>
          <w:szCs w:val="24"/>
        </w:rPr>
      </w:pPr>
      <w:r>
        <w:rPr>
          <w:rFonts w:hint="default"/>
          <w:sz w:val="21"/>
          <w:szCs w:val="24"/>
        </w:rPr>
        <w:t>1</w:t>
      </w:r>
      <w:r>
        <w:rPr>
          <w:rFonts w:hint="eastAsia"/>
          <w:sz w:val="21"/>
          <w:szCs w:val="24"/>
        </w:rPr>
        <w:t>、同时按照国际会计准则与按照中国会计准则披露的财务报告中净利润和净资产差异情况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公司报告期不存在按照国际会计准则与按照中国会计准则披露的财务报告中净利润和净资产差异情况。</w:t>
      </w:r>
    </w:p>
    <w:p>
      <w:pPr>
        <w:pStyle w:val="7"/>
        <w:spacing w:beforeLines="0" w:afterLines="0"/>
        <w:outlineLvl w:val="2"/>
        <w:rPr>
          <w:rFonts w:hint="default"/>
          <w:sz w:val="21"/>
          <w:szCs w:val="24"/>
        </w:rPr>
      </w:pPr>
      <w:r>
        <w:rPr>
          <w:rFonts w:hint="default"/>
          <w:sz w:val="21"/>
          <w:szCs w:val="24"/>
        </w:rPr>
        <w:t>2</w:t>
      </w:r>
      <w:r>
        <w:rPr>
          <w:rFonts w:hint="eastAsia"/>
          <w:sz w:val="21"/>
          <w:szCs w:val="24"/>
        </w:rPr>
        <w:t>、同时按照境外会计准则与按照中国会计准则披露的财务报告中净利润和净资产差异情况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公司报告期不存在按照境外会计准则与按照中国会计准则披露的财务报告中净利润和净资产差异情况。</w:t>
      </w:r>
    </w:p>
    <w:p>
      <w:pPr>
        <w:pStyle w:val="6"/>
        <w:spacing w:beforeLines="0" w:afterLines="0"/>
        <w:outlineLvl w:val="1"/>
        <w:rPr>
          <w:rFonts w:hint="default"/>
          <w:sz w:val="24"/>
          <w:szCs w:val="24"/>
        </w:rPr>
      </w:pPr>
      <w:r>
        <w:rPr>
          <w:rFonts w:hint="eastAsia"/>
          <w:sz w:val="24"/>
          <w:szCs w:val="24"/>
        </w:rPr>
        <w:t>八、分季度主要财务指标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21"/>
        <w:gridCol w:w="1740"/>
        <w:gridCol w:w="1739"/>
        <w:gridCol w:w="1739"/>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第一季度</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第二季度</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第三季度</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第四季度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79,260,889.44</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100,962,785.82</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110,725,129.58</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124,213,938.86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归属于上市公司股东的净利润</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12,826,261.53</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10,463,389.32</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19,968,506.29</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17,735,331.65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归属于上市公司股东的扣除非经常性损益的净利润</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8,592,360.13</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7,433,314.07</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16,112,247.74</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14,709,767.32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2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174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-7,088,064.73</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-10,006,293.76</w:t>
            </w:r>
          </w:p>
        </w:tc>
        <w:tc>
          <w:tcPr>
            <w:tcW w:w="173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-11,382,538.15</w:t>
            </w: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39,864,226.15</w:t>
            </w:r>
          </w:p>
        </w:tc>
      </w:tr>
    </w:tbl>
    <w:p>
      <w:pPr>
        <w:spacing w:beforeLines="0" w:afterLines="0"/>
        <w:jc w:val="left"/>
        <w:rPr>
          <w:rFonts w:hint="default"/>
          <w:sz w:val="18"/>
          <w:szCs w:val="24"/>
        </w:rPr>
      </w:pPr>
      <w:r>
        <w:rPr>
          <w:rFonts w:hint="eastAsia"/>
          <w:sz w:val="18"/>
          <w:szCs w:val="24"/>
        </w:rPr>
        <w:t>上述财务指标或其加总数是否与公司已披露季度报告、半年度报告相关财务指标存在重大差异</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九、非经常性损益项目及金额</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6"/>
        <w:gridCol w:w="1520"/>
        <w:gridCol w:w="1520"/>
        <w:gridCol w:w="1522"/>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年金额</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年金额</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2019</w:t>
            </w:r>
            <w:r>
              <w:rPr>
                <w:rFonts w:hint="eastAsia"/>
                <w:sz w:val="18"/>
                <w:szCs w:val="24"/>
              </w:rPr>
              <w:t>年金额</w:t>
            </w:r>
          </w:p>
        </w:tc>
        <w:tc>
          <w:tcPr>
            <w:tcW w:w="17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非流动资产处置损益（包括已计提资产减值准备的冲销部分）</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523,371.73</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-284,825.81</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-77,046.11</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计入当期损益的政府补助（与公司正常经营业务密切相关，符合国家政策规定、按照一定标准定额或定量持续享受的政府补助除外）</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3,151,472.34</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4,170,698.89</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2,080,253.77</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委托他人投资或管理资产的损益</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15,915,730.99</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9,186,397.81</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10,735,569.57</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-3,366,653.30</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4,601,612.87</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830,249.17</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除上述各项之外的其他营业外收入和支出</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1,056,753.26</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714,787.71</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-1,259,150.70</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减：所得税影响额</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3,134,875.48</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2,854,287.52</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1,937,661.42</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14,145,799.54</w:t>
            </w:r>
          </w:p>
        </w:tc>
        <w:tc>
          <w:tcPr>
            <w:tcW w:w="152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15,534,383.95</w:t>
            </w:r>
          </w:p>
        </w:tc>
        <w:tc>
          <w:tcPr>
            <w:tcW w:w="15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10,372,214.28</w:t>
            </w:r>
          </w:p>
        </w:tc>
        <w:tc>
          <w:tcPr>
            <w:tcW w:w="17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其他符合非经常性损益定义的损益项目的具体情况：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公司不存在其他符合非经常性损益定义的损益项目的具体情况。</w:t>
      </w:r>
    </w:p>
    <w:p>
      <w:pPr>
        <w:spacing w:beforeLines="0" w:afterLines="0"/>
        <w:jc w:val="left"/>
        <w:rPr>
          <w:rFonts w:hint="default"/>
          <w:sz w:val="18"/>
          <w:szCs w:val="24"/>
        </w:rPr>
      </w:pPr>
      <w:r>
        <w:rPr>
          <w:rFonts w:hint="eastAsia"/>
          <w:sz w:val="18"/>
          <w:szCs w:val="24"/>
        </w:rPr>
        <w:t>将《公开发行证券的公司信息披露解释性公告第</w:t>
      </w:r>
      <w:r>
        <w:rPr>
          <w:rFonts w:hint="default"/>
          <w:sz w:val="18"/>
          <w:szCs w:val="24"/>
        </w:rPr>
        <w:t>1</w:t>
      </w:r>
      <w:r>
        <w:rPr>
          <w:rFonts w:hint="eastAsia"/>
          <w:sz w:val="18"/>
          <w:szCs w:val="24"/>
        </w:rPr>
        <w:t>号</w:t>
      </w:r>
      <w:r>
        <w:rPr>
          <w:rFonts w:hint="default"/>
          <w:sz w:val="18"/>
          <w:szCs w:val="24"/>
        </w:rPr>
        <w:t>——</w:t>
      </w:r>
      <w:r>
        <w:rPr>
          <w:rFonts w:hint="eastAsia"/>
          <w:sz w:val="18"/>
          <w:szCs w:val="24"/>
        </w:rPr>
        <w:t>非经常性损益》中列举的非经常性损益项目界定为经常性损益项目的情况说明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公司不存在将《公开发行证券的公司信息披露解释性公告第</w:t>
      </w:r>
      <w:r>
        <w:rPr>
          <w:rFonts w:hint="default"/>
          <w:sz w:val="18"/>
          <w:szCs w:val="24"/>
        </w:rPr>
        <w:t>1</w:t>
      </w:r>
      <w:r>
        <w:rPr>
          <w:rFonts w:hint="eastAsia"/>
          <w:sz w:val="18"/>
          <w:szCs w:val="24"/>
        </w:rPr>
        <w:t>号</w:t>
      </w:r>
      <w:r>
        <w:rPr>
          <w:rFonts w:hint="default"/>
          <w:sz w:val="18"/>
          <w:szCs w:val="24"/>
        </w:rPr>
        <w:t>——</w:t>
      </w:r>
      <w:r>
        <w:rPr>
          <w:rFonts w:hint="eastAsia"/>
          <w:sz w:val="18"/>
          <w:szCs w:val="24"/>
        </w:rPr>
        <w:t>非经常性损益》中列举的非经常性损益项目界定为经常性损益的项目的情形。</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2" w:name="_Toc300000086"/>
      <w:r>
        <w:rPr>
          <w:rFonts w:hint="eastAsia"/>
          <w:sz w:val="32"/>
          <w:szCs w:val="24"/>
        </w:rPr>
        <w:t>第三节</w:t>
      </w:r>
      <w:r>
        <w:rPr>
          <w:rFonts w:hint="default"/>
          <w:sz w:val="32"/>
          <w:szCs w:val="24"/>
        </w:rPr>
        <w:t xml:space="preserve"> </w:t>
      </w:r>
      <w:r>
        <w:rPr>
          <w:rFonts w:hint="eastAsia"/>
          <w:sz w:val="32"/>
          <w:szCs w:val="24"/>
        </w:rPr>
        <w:t>管理层讨论与分析</w:t>
      </w:r>
      <w:bookmarkEnd w:id="2"/>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2021年度，公司作为外向型企业，受全球新冠疫情的持续影响及经济发展增速缓慢，国际市场持续低迷，汇率的持续波动，原材料成本以及国际海运费的大幅上涨等因素叠加影响，导致公司国内外贸易销售形势处于更加严峻的态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面对国内外市场环境带来的巨大经营压力，公司采取了一系列应对措施，通过持续优化精益生产管理、重点项目、关键客户管理等机制，强化节约管理成本，提高管理效率；通过调整市场销售政策和战略布局，完善技术研发体系，持续提高生产效率与产品质量；引进急需技术人才，加大员工技能培训力度；通过管理层不懈的努力，2021 年度公司销售收入、净利润及新产品研发技术突破、国内外市场占有率、品牌影响力等经营指标都有了新的提升，为公司持续经营、稳健发展打下了坚实的基础。</w:t>
      </w:r>
    </w:p>
    <w:p>
      <w:pPr>
        <w:pStyle w:val="6"/>
        <w:spacing w:beforeLines="0" w:afterLines="0"/>
        <w:outlineLvl w:val="1"/>
        <w:rPr>
          <w:rFonts w:hint="default"/>
          <w:color w:val="auto"/>
          <w:sz w:val="24"/>
          <w:szCs w:val="24"/>
        </w:rPr>
      </w:pPr>
      <w:r>
        <w:rPr>
          <w:rFonts w:hint="eastAsia"/>
          <w:color w:val="auto"/>
          <w:sz w:val="24"/>
          <w:szCs w:val="24"/>
        </w:rPr>
        <w:t>一、报告期内公司所处的行业情况</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随着全球性水资源紧张、控制全球性环境污染、保护绿色生态等问题的提出，无论是在全球范围还是国内，人们对给排水阀门产品提出了更高的标准和要求，给排水阀门已成为阀门行业的重要细分领域，进而促进了给排水阀门技术的快速发展。给排水阀门是指用于控制流量、水位等的专用阀门，常用于生活供水、消防系统、污水处理系统、工业给排水系统等。此外，在水利工程和灌溉系统中，给排水阀门亦是不可缺少的重要控制部件。</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是国内较早从事给排水阀门生产的企业之一，通过多年的技术积累和市场开拓，在研发设计能力、品牌影响力、资质认证、产品质量、大型工程给排水阀门开发及设计实施经验、客户资源等方面均具有明显的竞争优势。公司定位于给排水阀门行业，专注于城镇给排水系统、消防给水系统、空调暖通系统及污水处理系统四大应用领域，通过引进、消化吸收国外给排水阀门先进技术和经验，并结合国内实际情况进行自主开发改进，不断应用新工艺、新技术、新材料，促进自动化、智能化、高效节能、操作灵活可靠、寿命长的产品不断涌入市场，产品涵盖多个类别、多种型号、2,000多个规格，使得公司的产品跻身于国际给排水及消防行业先进水平行列之中。</w:t>
      </w:r>
    </w:p>
    <w:p>
      <w:pPr>
        <w:autoSpaceDE w:val="0"/>
        <w:autoSpaceDN w:val="0"/>
        <w:adjustRightInd w:val="0"/>
        <w:spacing w:beforeLines="0" w:afterLines="0"/>
        <w:ind w:firstLine="360"/>
        <w:rPr>
          <w:rFonts w:hint="eastAsia" w:ascii="宋体"/>
          <w:b/>
          <w:color w:val="auto"/>
          <w:sz w:val="18"/>
          <w:szCs w:val="24"/>
          <w:lang w:val="zh-CN"/>
        </w:rPr>
      </w:pPr>
      <w:r>
        <w:rPr>
          <w:rFonts w:hint="eastAsia" w:ascii="宋体"/>
          <w:color w:val="auto"/>
          <w:sz w:val="18"/>
          <w:szCs w:val="24"/>
          <w:lang w:val="zh-CN"/>
        </w:rPr>
        <w:t>公司于2012年以来连续被认定为高新技术企业、青岛市级企业技术中心，产品取得了国内外众多产品质量认证，是国内给排水阀门行业取得认证较多的企业之一。 2016年11月，公司被认定为国内阀门行业首家“UL认可目击测试实验室”，标志着公司相关产品的检测能力已达到国际领先水平。2016年12月，公司取得中央军委装备发展部核发的《装备承制单位注册证书》，成为第三类装备承制单位，列入舰艇装备、军事基地、造船厂等单位生产、生活设施配套的阀门产品合格供应商。</w:t>
      </w:r>
    </w:p>
    <w:p>
      <w:pPr>
        <w:autoSpaceDE w:val="0"/>
        <w:autoSpaceDN w:val="0"/>
        <w:adjustRightInd w:val="0"/>
        <w:spacing w:beforeLines="0" w:afterLines="0"/>
        <w:ind w:firstLine="270"/>
        <w:rPr>
          <w:rFonts w:hint="eastAsia" w:ascii="宋体"/>
          <w:color w:val="auto"/>
          <w:sz w:val="18"/>
          <w:szCs w:val="24"/>
          <w:lang w:val="zh-CN"/>
        </w:rPr>
      </w:pPr>
      <w:r>
        <w:rPr>
          <w:rFonts w:hint="eastAsia" w:ascii="宋体"/>
          <w:color w:val="auto"/>
          <w:sz w:val="18"/>
          <w:szCs w:val="24"/>
          <w:lang w:val="zh-CN"/>
        </w:rPr>
        <w:t>公司客户遍及欧洲、亚洲、北美、大洋洲、非洲等50多个国家和地区，积累了丰富的客户资源。“WEFLO”和“Weilong伟隆”品牌在国内外客户中的影响力逐步提升，其中“Weilong伟隆”被山东省市场监督管理局认定为“山东省著名商标”，“WEFLO”商标被山东省商务厅授予“山东省重点培育和发展的国际知名品牌”。公司</w:t>
      </w:r>
      <w:r>
        <w:rPr>
          <w:rFonts w:hint="default"/>
          <w:color w:val="auto"/>
          <w:sz w:val="18"/>
          <w:szCs w:val="24"/>
          <w:lang w:val="zh-CN"/>
        </w:rPr>
        <w:t>2021</w:t>
      </w:r>
      <w:r>
        <w:rPr>
          <w:rFonts w:hint="eastAsia" w:ascii="宋体"/>
          <w:color w:val="auto"/>
          <w:sz w:val="18"/>
          <w:szCs w:val="24"/>
          <w:lang w:val="zh-CN"/>
        </w:rPr>
        <w:t>年</w:t>
      </w:r>
      <w:r>
        <w:rPr>
          <w:rFonts w:hint="default"/>
          <w:color w:val="auto"/>
          <w:sz w:val="18"/>
          <w:szCs w:val="24"/>
          <w:lang w:val="zh-CN"/>
        </w:rPr>
        <w:t>2</w:t>
      </w:r>
      <w:r>
        <w:rPr>
          <w:rFonts w:hint="eastAsia" w:ascii="宋体"/>
          <w:color w:val="auto"/>
          <w:sz w:val="18"/>
          <w:szCs w:val="24"/>
          <w:lang w:val="zh-CN"/>
        </w:rPr>
        <w:t>月被青岛市技术改造与创新促进会推荐为副理事长单位，2021年6月被中国通用机械协会阀门分会第八届会员大会选举为“常务理事单位”。</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1、消防系统领域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随着社会的进步，人们对消防安全问题越来越关注，水消防系统尤其是自动喷水防火系统对于实现安全保障至关重要，阀门作为消防系统使用最多的配套装备之一，其经济性能与安全有效性、使用效率对消防系统整体具有重要作用。公司通过引进、消化吸收国外消防系统的先进技术和经验，进行自主开发设计，不断推出新工艺、新技术、新产品，促进自动化、智能化、高效节能、操作灵活可靠、寿命长的消防阀门产品不断投入市场。公司申请获得美国FM/UL检测机构审核认证的消防产品水流指示器、监控开关、控制阀、减压阀等，多数为国内同行业中首家获得FM/UL认证的产品，使得公司的产品跻身于国际先进水平行列。</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2、城镇给排水管网及空调暖通领域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城镇生活及建筑设施空调暖通用给排水阀门产品，尤其是应用于自来水厂、城镇给排水系统和空调暖通系统阀门产品的质量、性能及环保能力与人们的日常生活和身体健康息息相关，其产品质量的稳定性、安全性和环保性是终端客户关注的主要内容。公司已形成以闸阀、蝶阀、截止阀、调节阀、旋塞阀、止回阀、减压阀、报警阀、雨淋阀等为主的多个系列产品，共有2,000多个规格，能够满足客户一站式采购需求。公司为保证良好的产品质量记录，提升市场竞争力，2020年9月成立了全资子公司-青岛卓信检测技术有限公司，建立了严格的质量管理体系和质量检验制度，采用科学的检测手段和完善的产品质量检测设备设施，对产品由原材料进厂、生产过程控制到成品出库以及售后服务进行全过程质量跟踪监控；卓信检测于2021年6月获得了CMA检测资质认证证书，2022年3月获得中国合格评定国家认可委员会CNAS实验室认可证书，标志着公司对外开展阀门产品技术检测工作及产品检测能力已达到国内先进水平。</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3、污水处理系统领域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近年来，国家将城镇污水处理设施改善作为提升基本环境公共服务、改善水环境质量的重大环保民生工程和建设资源节约型、环境友好型社会的重要工作任务。国内污水处理设施不断完善，污水处理能力得到较大的提高，但仍存在污水配套管网建设相对滞后、设施建设不平衡、不能完全满足环保新要求等问题。当前污水处理工程的建设规模和建设进度都处于加速状态，这为公司给排水阀门尤其是适用于大型污水处理工程的大规格阀门提供了广阔的市场空间，公司募投项目“大规格及特殊用途阀门项目”的投产，大幅提升了污水处理系统阀门产品的生产制造产能，增强了公司开拓污水处理系统领域业务的市场竞争力。</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4、汽车、农机配件领域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随着2021年国内商用汽车、农机销量和产量的增长，带动了汽车、农机铸件配件领域的快速发展。公司于2019年5月投产的募投项目“新型阀门建设项目”两条自动铸造线，其生产能力可以满足大多数中小规格阀门类、汽车农机配件类铸铁件产品的需求，大幅提升了公司阀门产品主要原材料铸铁件产品的供应能力，为满足公司阀门铸件的需求及生产交付能力奠定了坚实的基础。同时，公司加大开拓汽车、农机配件市场铸件的销售业务，以发挥现有的铸造线产能。已同多家汽车、农机配件供应商达成合作业务，为汽车、农机配件铸件需求提供铸造加工产品，其铸件配件销售额由2020年的2000万元增至2021年3600余万元，并逐步扩大客户资源和销售额，提高公司产品市场竞争能力和盈利能力，对公司未来的经营业绩将产生积极的影响。</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5、军品阀门领域</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2016年已取得中央军委装备发展部颁发的从事军品制造资格的《装备承制单位注册证书》和国军标GJB9001B质量管理体系认证，成为第三类装备承制单位。公司阀门产品主要服务领域为海军舰艇装备及军事基地建设设施配套，公司为开拓军工市场所需产品，设有军品销售部及配置了专业的销售、技术和服务人员，报告期内军品阀门签署部分订单，已为部分军事基地、造船厂等单位提供生产装备、生活设施配套所需的闸阀、防浪阀、截止阀、快速接头等产品，目前销售份额较少，尚未对公司业绩产生重大影响，但对公司未来业绩的提升和核心竞争力的增强具有积极的促进作用，公司将抓住“十四五”期间军民融合产业发展机遇实现高质量发展，为国防建设提供优质阀门产品和服务。</w:t>
      </w:r>
    </w:p>
    <w:p>
      <w:pPr>
        <w:pStyle w:val="6"/>
        <w:spacing w:beforeLines="0" w:afterLines="0"/>
        <w:outlineLvl w:val="1"/>
        <w:rPr>
          <w:rFonts w:hint="default"/>
          <w:sz w:val="24"/>
          <w:szCs w:val="24"/>
        </w:rPr>
      </w:pPr>
      <w:r>
        <w:rPr>
          <w:rFonts w:hint="eastAsia"/>
          <w:sz w:val="24"/>
          <w:szCs w:val="24"/>
        </w:rPr>
        <w:t>二、报告期内公司从事的主要业务</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（一）主要业务、主要产品及用途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是专业从事给排水阀门产品的设计研发、生产制造和销售服务的高新技术企业，为城镇给排水系统、消防给水系统、空调暖通系统以及污水处理系统等下游应用领域提供产品及解决方案。公司具有提供以闸阀、蝶阀、截止阀、调节阀、旋塞阀、止回阀、减压阀、报警阀、雨淋阀等为主的多个系列、共2,000多个规格产品的能力，能够满足客户一站式采购需求。 同时，全资子公司莱州伟隆募投项目建设的两条铸造自动生产线投产，已为汽车、农机企业承接铸造高质量铸件加工产品。2020年9月成立的全资子公司“青岛卓信检测技术有限公司”，已于2021年6月获得了CMA检测资质认证证书，2022年3月获得中国合格评定国家认可委员会CNAS实验室认可证书，承接对外阀门检测技术业务。2016年12月，公司取得中央军委装备发展部核发的《装备承制单位注册证书》，成为第三类装备承制单位，为部分海军舰艇装备、军事基地、造船厂等单位提供生产装备、生活设施配套所需的阀门产品。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（二）经营模式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公司凭借二十多年的经营管理经验，结合产品特点和业务发展要求，采取的销售、研发、采购、生产、服务模式符合行业特点，满足公司业务发展需要。报告期内，公司经营模式未发生重大变化。 </w:t>
      </w:r>
    </w:p>
    <w:p>
      <w:pPr>
        <w:autoSpaceDE w:val="0"/>
        <w:autoSpaceDN w:val="0"/>
        <w:adjustRightInd w:val="0"/>
        <w:spacing w:beforeLines="0" w:afterLines="0"/>
        <w:ind w:firstLine="450"/>
        <w:jc w:val="left"/>
        <w:rPr>
          <w:rFonts w:hint="eastAsia" w:ascii="宋体"/>
          <w:color w:val="auto"/>
          <w:sz w:val="18"/>
          <w:szCs w:val="24"/>
          <w:lang w:val="zh-CN"/>
        </w:rPr>
      </w:pP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1、市场销售模式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公司在充分发挥现有客户资源和营销网络优势的基础上，进一步贴近终端客户，扩大自主品牌的销售力度，提高服务水平。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1）国内市场销售：采取由营销中心自有销售团队设立的合伙人销售平台和代理商销售相结合的业务模式。根据国内给排水系统及水利工程对阀门产品的需求，不断优化自主品牌“WEFLO”的产品结构，完善产品销售激励政策，努力调动销售人员的积极性，积极参与重点工程项目的招投标工作，取得了较好的销售业绩，提高了公司产品在国内的市场占有率和品牌影响力，已跻身于国内给排水阀门招投标项目主要参与竞争企业行列之中。</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2）国际市场销售：采取自有境内外团队销售和区域经销商代理销售相结合的业务模式。今年以来国际销售市场产品需求复苏，客户采购订单交货量处于充裕状态，公司在巩固和扩大北美和欧洲市场原有客户和销售区域的基础上，充分发挥英国、美国、香港子公司的国际销售平台和销售团队能力，在做好客户OEM产品销售的同时，推进自主品牌“WEFLO”的市场开拓，争创国际知名品牌，获得了沙特阿美公司在国内阀门业首家供应商资质，并签订了首个百万美元级订单；已跻身于国际市场阀门产品的知名供应商企业行列之中。</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2、研发设计模式</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阀门行业在国际市场上不同国家和区域客户需求的多样化导致非标准化产品较多，因此产品研发设计的快速应对能力对缩短交货期、提高客户满意度具有非常重要的意义。公司通过引入“产品创新能力提升”咨询项目，实施了产品归一化、标准化整合优化方案，建立了一整套新产品研发设计流程和方案：对客户产品的设计要求进行总体可行性分析评估后，制定产品设计开发输入书，包括研发方案、研发目标、设计方案图等，并根据设计输入书及图样的输出内容进行模具的制作，过程中引入优化设计方法，使得在设计过程中既能够不断选择设计参数并评选出最优设计方案，又可以加快设计速度，缩短设计周期，从而保证新产品的按期投产交付满足客户的需求。</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研发团队多年来积累了丰富的自主研发设计能力和经验，客户需求的产品从研发设计到模具开发、模具加工、铸件铸造、技术工艺、生产试制、产品验证等过程均由有关部门和生产车间实施完成，公司是国内给排水阀门行业少数具有自主研发设计、生产试制、产品验证、认证能力实现一体化的规模企业之一。</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3、采购供应模式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制定了严格的《采购管理程序》、《供应商产品质量考核办法》及《产品外协加工业务管理规范》等管理制度、流程。采购管理部负责编制采购计划并实施采购，工程技术部负责采购及外协用技术资料的发放、回收、控制，品质管理部负责外购、外协产品的进厂检验，仓储物流部负责外购产品检验合格后的入库、仓储、发运工作。</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阀门产品所用的主要铸铁铸件由全资子公司莱州伟隆供应，募投项目新投产的两条铸造自动生产线以铸造生产批量阀门铸件为主，同时辅以生产汽车、农机配件等铸件产品，大幅提升了铸件供应保障能力；公司建有先进的橡胶制品配件自动化生产硫化车间，实现了主要橡胶配件的质量、数量自给自足能力。其它各类辅助配件如铜件、不锈钢件、标准件等，公司与周边各类配件供应商建立了长期稳定的合作关系，形成了垂直供应及高效的配件供应体系，从而在产品采购供应质量和履约能力方面形成了公司独特的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4、生产制造模式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阀门产品主要采取“以销定产”的生产制造模式。根据客户订单绝大多数是以单件、多品种、小批量为主的特点，对产品规格、标准的具体要求和采购意向制定采购计划和生产计划，其中对于非标准化产品和批量大、交货时间短的订单，由工程技术部和生产管理部根据订单图纸和技术参数进行技术、原材料等分析后向客户发出销售订单确认。对于部分简单的机加工工序，采取外协方合作加工方式解决，为加强对外协方的管理和产品质量控制，制定了《产品外协加工业务管理规范》，用于公司外协方的选择确认、定价、发货、验收、入库、结算等过程的管理。公司不断推进车间班组U型生产单元和柔性化装配单元，通过开发实施MES制造执行系统加快数据信息处理传递，加强各部门的协同能力，提高工作效率、降低生产成本，优化生产制造管理模式，强化过程管理和控制，提升精益化生产管理水平。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5、客户服务模式 </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 xml:space="preserve">公司建立了客户服务管理组织架构及主责部门和专兼职人员，为客户提供高品质的产品和热情周到的服务。公司致力于同客户建立长期稳定的合作关系，通过技术交流、互访考察、合作研发等方式，与客户保持了互利互惠的良好合作关系。为了满足各类客户的个性化需求，公司通过市场调研，摸清顾客的潜在需求愿望；除通过官方网站、电话、电子邮件、传真等方式与客户保持经常沟通外，公司还组织营销业务员、售后服务人员和技术人员定期拜访客户，现场给予客户技术交流支持，提供优质的售前、售中及售后服务，提高客户满意度，塑造良好的品牌形象。 </w:t>
      </w:r>
    </w:p>
    <w:p>
      <w:pPr>
        <w:pStyle w:val="6"/>
        <w:spacing w:beforeLines="0" w:afterLines="0"/>
        <w:outlineLvl w:val="1"/>
        <w:rPr>
          <w:rFonts w:hint="default"/>
          <w:sz w:val="24"/>
          <w:szCs w:val="24"/>
        </w:rPr>
      </w:pPr>
      <w:r>
        <w:rPr>
          <w:rFonts w:hint="eastAsia"/>
          <w:sz w:val="24"/>
          <w:szCs w:val="24"/>
        </w:rPr>
        <w:t>三、核心竞争力分析</w:t>
      </w:r>
    </w:p>
    <w:p>
      <w:pPr>
        <w:autoSpaceDE w:val="0"/>
        <w:autoSpaceDN w:val="0"/>
        <w:adjustRightInd w:val="0"/>
        <w:spacing w:beforeLines="0" w:afterLines="0"/>
        <w:ind w:firstLine="360"/>
        <w:rPr>
          <w:rFonts w:hint="eastAsia" w:ascii="宋体"/>
          <w:b/>
          <w:color w:val="auto"/>
          <w:sz w:val="18"/>
          <w:szCs w:val="24"/>
          <w:lang w:val="zh-CN"/>
        </w:rPr>
      </w:pPr>
      <w:r>
        <w:rPr>
          <w:rFonts w:hint="eastAsia" w:ascii="宋体"/>
          <w:b/>
          <w:color w:val="auto"/>
          <w:sz w:val="18"/>
          <w:szCs w:val="24"/>
          <w:lang w:val="zh-CN"/>
        </w:rPr>
        <w:t>公司经过二十多年的经营探索，</w:t>
      </w:r>
      <w:r>
        <w:rPr>
          <w:rFonts w:hint="eastAsia" w:ascii="宋体"/>
          <w:color w:val="auto"/>
          <w:sz w:val="18"/>
          <w:szCs w:val="24"/>
          <w:lang w:val="zh-CN"/>
        </w:rPr>
        <w:t>致力于给排水阀门行业的深耕细作，专注于城镇给排水系统、消防给水系统、空调暖通系统及污水处理系统等四大应用领域。公司通过多年的技术积累和市场开拓，在研发设计能力、品牌影响力、资质认证、产品质量、大型工程给排水阀门开发及设计实施经验、客户资源等方面均具有明显的竞争优势。</w:t>
      </w:r>
    </w:p>
    <w:p>
      <w:pPr>
        <w:autoSpaceDE w:val="0"/>
        <w:autoSpaceDN w:val="0"/>
        <w:adjustRightInd w:val="0"/>
        <w:spacing w:beforeLines="0" w:afterLines="0"/>
        <w:ind w:firstLine="361"/>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1</w:t>
      </w:r>
      <w:r>
        <w:rPr>
          <w:rFonts w:hint="eastAsia" w:ascii="宋体"/>
          <w:b/>
          <w:color w:val="auto"/>
          <w:sz w:val="18"/>
          <w:szCs w:val="24"/>
          <w:lang w:val="zh-CN"/>
        </w:rPr>
        <w:t>）研发技术优势</w:t>
      </w:r>
    </w:p>
    <w:p>
      <w:pPr>
        <w:autoSpaceDE w:val="0"/>
        <w:autoSpaceDN w:val="0"/>
        <w:adjustRightInd w:val="0"/>
        <w:spacing w:beforeLines="0" w:afterLines="0"/>
        <w:ind w:firstLine="360"/>
        <w:rPr>
          <w:rFonts w:hint="eastAsia" w:ascii="宋体"/>
          <w:color w:val="auto"/>
          <w:sz w:val="18"/>
          <w:szCs w:val="24"/>
          <w:lang w:val="zh-CN"/>
        </w:rPr>
      </w:pPr>
      <w:r>
        <w:rPr>
          <w:rFonts w:hint="eastAsia" w:ascii="宋体"/>
          <w:color w:val="auto"/>
          <w:sz w:val="18"/>
          <w:szCs w:val="24"/>
          <w:lang w:val="zh-CN"/>
        </w:rPr>
        <w:t>公司是2021年以来经青岛市科技局、财政局、国税局和地税局认定的高新技术企业，技术中心于</w:t>
      </w:r>
      <w:r>
        <w:rPr>
          <w:rFonts w:hint="default"/>
          <w:color w:val="auto"/>
          <w:sz w:val="18"/>
          <w:szCs w:val="24"/>
          <w:lang w:val="zh-CN"/>
        </w:rPr>
        <w:t>2012</w:t>
      </w:r>
      <w:r>
        <w:rPr>
          <w:rFonts w:hint="eastAsia" w:ascii="宋体"/>
          <w:color w:val="auto"/>
          <w:sz w:val="18"/>
          <w:szCs w:val="24"/>
          <w:lang w:val="zh-CN"/>
        </w:rPr>
        <w:t>年被认定为青岛市级企业技术中心。公司成立了由公司总经理直接负责的技术管理委员会和由外聘专家组成的专家委员会，拥有近86名专业技术人员，其中6名为高级工程师，长期从事阀门产品的研发设计，积累了丰富的研发设计和生产经验。公司及子公司现拥有39项专利，其中2项为国内发明专利。公司研发的不停水加装闸门技术工艺于2011年经中国水协科技委管道技术部专家组现场评审认为技术先进、实用性强、为国内首创，达到国际先进水平，于2018年12月获得国家知识产权局颁发的“中国专利优秀奖”证书。公司2021年研发的新产品消防减压阀为国内首家通过UL认证，获得北京消防展“首家认证”荣誉。</w:t>
      </w:r>
    </w:p>
    <w:p>
      <w:pPr>
        <w:autoSpaceDE w:val="0"/>
        <w:autoSpaceDN w:val="0"/>
        <w:adjustRightInd w:val="0"/>
        <w:spacing w:beforeLines="0" w:afterLines="0"/>
        <w:ind w:firstLine="361"/>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2</w:t>
      </w:r>
      <w:r>
        <w:rPr>
          <w:rFonts w:hint="eastAsia" w:ascii="宋体"/>
          <w:b/>
          <w:color w:val="auto"/>
          <w:sz w:val="18"/>
          <w:szCs w:val="24"/>
          <w:lang w:val="zh-CN"/>
        </w:rPr>
        <w:t>）国际市场开拓和客户资源优势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多年专业从事国际市场给排水、消防阀门经营业务，拥有丰富的国际市场开拓和销售经验，培养了一批谙熟国际市场运作规则的专业营销人才，在英国、美国和香港设有全资子公司作为国际市场销售平台，并聘请了国外具有多年专业销售经验的区域经理。凭借可靠的产品质量和稳定的产品性能，公司自主品牌“WEFLO”赢得了众多国际客户的信赖，在市场上的销售份额逐步提升，公司在亚洲、欧洲、美洲、大洋洲及非洲等50多个国家和地区积累了一批优质的品牌客户，其中多数为长期战略客户，与公司形成了稳定的合作关系，保证了公司具有充裕、稳定的销售订单业务量和营业收入的稳步增长。</w:t>
      </w:r>
    </w:p>
    <w:p>
      <w:pPr>
        <w:autoSpaceDE w:val="0"/>
        <w:autoSpaceDN w:val="0"/>
        <w:adjustRightInd w:val="0"/>
        <w:spacing w:beforeLines="0" w:afterLines="0"/>
        <w:ind w:firstLine="361"/>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3</w:t>
      </w:r>
      <w:r>
        <w:rPr>
          <w:rFonts w:hint="eastAsia" w:ascii="宋体"/>
          <w:b/>
          <w:color w:val="auto"/>
          <w:sz w:val="18"/>
          <w:szCs w:val="24"/>
          <w:lang w:val="zh-CN"/>
        </w:rPr>
        <w:t>）产品质量管理优势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产品取得了欧盟CE产品安全认证、英国WRAS饮用水认证、美国UL饮用水认证、美国UL认证、美国FM认证、美国NSF认证、加拿大UL认证、澳大利亚IAPMO审核WaterMark认证和AGA\OceanMark.认证、中国船级社型式认可证书、武器装备质量管理体系认证证书、俄罗斯GOST认证、阿联酋Civil Denfense民防认证、CCC中国国家强制性产品认证证书、香港水务署认证、德国VDS认证以及获得ISO9001质量管理体系、ISO14001环境管理体系、GB/T28001职业健康安全管理体系认证、GB/T29490知识产权管理体系认证、GJB9001B国军标管理体系、 “GB/T 29490知识产权管理体系认证”、《两化融合管理体系评定证书》认证等多项认证，获得中国贸促会《中国商品出口品牌证明书》，成为国内给排水阀门行业取得认证较多的企业之一。</w:t>
      </w:r>
    </w:p>
    <w:p>
      <w:pPr>
        <w:autoSpaceDE w:val="0"/>
        <w:autoSpaceDN w:val="0"/>
        <w:adjustRightInd w:val="0"/>
        <w:spacing w:beforeLines="0" w:afterLines="0"/>
        <w:ind w:firstLine="271" w:firstLineChars="150"/>
        <w:jc w:val="left"/>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4</w:t>
      </w:r>
      <w:r>
        <w:rPr>
          <w:rFonts w:hint="eastAsia" w:ascii="宋体"/>
          <w:b/>
          <w:color w:val="auto"/>
          <w:sz w:val="18"/>
          <w:szCs w:val="24"/>
          <w:lang w:val="zh-CN"/>
        </w:rPr>
        <w:t>）产品产业链、品类齐全的优势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成立以来一致专注于给排水阀门细分领域，产品类别涵盖阀门分类的多个系列、2,000多个规格，包括闸阀、蝶阀、止回阀、调节阀、球阀、偏心阀、截止阀、排气阀等，具备生产公称通径2.2M的闸阀、4M蝶阀等大规格阀门的生产能力。公司组建了专业的国内外市场销售、自主研发设计、模具开发、模具加工中心、技术工艺、质量控制、原材料采购、铸件铸造、橡胶配件硫化、生产数控加工、涂装装配试验、仓储物流等管理部门及生产团队。生产配套能力较强，形成了较完整的产品生产产业链。公司产品类别、结构齐全及规格、型号众多、快速高效的交货能力有效满足下游客户的一站式采购要求，提高客户的采购效率，为公司与客户建立良好合作关系奠定了优势。</w:t>
      </w:r>
    </w:p>
    <w:p>
      <w:pPr>
        <w:autoSpaceDE w:val="0"/>
        <w:autoSpaceDN w:val="0"/>
        <w:adjustRightInd w:val="0"/>
        <w:spacing w:beforeLines="0" w:afterLines="0"/>
        <w:ind w:firstLine="361"/>
        <w:rPr>
          <w:rFonts w:hint="default"/>
          <w:b/>
          <w:color w:val="auto"/>
          <w:sz w:val="18"/>
          <w:szCs w:val="24"/>
          <w:lang w:val="zh-CN"/>
        </w:rPr>
      </w:pPr>
      <w:r>
        <w:rPr>
          <w:rFonts w:hint="eastAsia" w:ascii="宋体"/>
          <w:b/>
          <w:color w:val="auto"/>
          <w:sz w:val="18"/>
          <w:szCs w:val="24"/>
          <w:lang w:val="zh-CN"/>
        </w:rPr>
        <w:t>（</w:t>
      </w:r>
      <w:r>
        <w:rPr>
          <w:rFonts w:hint="default"/>
          <w:b/>
          <w:color w:val="auto"/>
          <w:sz w:val="18"/>
          <w:szCs w:val="24"/>
          <w:lang w:val="zh-CN"/>
        </w:rPr>
        <w:t>5</w:t>
      </w:r>
      <w:r>
        <w:rPr>
          <w:rFonts w:hint="eastAsia" w:ascii="宋体"/>
          <w:b/>
          <w:color w:val="auto"/>
          <w:sz w:val="18"/>
          <w:szCs w:val="24"/>
          <w:lang w:val="zh-CN"/>
        </w:rPr>
        <w:t>）原材料供应体系优势</w:t>
      </w:r>
    </w:p>
    <w:p>
      <w:pPr>
        <w:autoSpaceDE w:val="0"/>
        <w:autoSpaceDN w:val="0"/>
        <w:adjustRightInd w:val="0"/>
        <w:spacing w:beforeLines="0" w:afterLines="0"/>
        <w:ind w:firstLine="450"/>
        <w:jc w:val="left"/>
        <w:rPr>
          <w:rFonts w:hint="eastAsia" w:ascii="宋体"/>
          <w:color w:val="auto"/>
          <w:sz w:val="18"/>
          <w:szCs w:val="24"/>
          <w:lang w:val="zh-CN"/>
        </w:rPr>
      </w:pPr>
      <w:r>
        <w:rPr>
          <w:rFonts w:hint="eastAsia" w:ascii="宋体"/>
          <w:color w:val="auto"/>
          <w:sz w:val="18"/>
          <w:szCs w:val="24"/>
          <w:lang w:val="zh-CN"/>
        </w:rPr>
        <w:t>公司拥有十多年铸造生产经验的专业阀门铸件配套企业</w:t>
      </w:r>
      <w:r>
        <w:rPr>
          <w:rFonts w:hint="default"/>
          <w:color w:val="auto"/>
          <w:sz w:val="18"/>
          <w:szCs w:val="24"/>
          <w:lang w:val="zh-CN"/>
        </w:rPr>
        <w:t>—</w:t>
      </w:r>
      <w:r>
        <w:rPr>
          <w:rFonts w:hint="eastAsia" w:ascii="宋体"/>
          <w:color w:val="auto"/>
          <w:sz w:val="18"/>
          <w:szCs w:val="24"/>
          <w:lang w:val="zh-CN"/>
        </w:rPr>
        <w:t>全资子公司莱州伟隆，新投产的两条自动化铸造生产线具有充足的铸件生产能力，为保证公司阀门产品质量、减少对铸件供应商的依赖起到了保障作用。公司建有先进的模具加工中心和橡胶制品配件自动化生产硫化车间，实现了主要模具开发加工配套能力，保证了橡胶配件的质量、数量自给自足能力。其它各类辅助配件如铜件、不锈钢件、标准件等，公司与周边各类配件供应商建立了长期稳定的合作关系，拥有高效的配件供应体系。公司稳定可靠的产品质量及较短的交货周期所体现出来的履约能力，主要得益于阀门铸件生产的垂直供应以及高效的配件供应体系，从而在产品质量和采购原材料履约能力方面形成了公司独特的竞争优势。</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报告期内，公司核心竞争力未发生重大变化。</w:t>
      </w:r>
    </w:p>
    <w:p>
      <w:pPr>
        <w:pStyle w:val="6"/>
        <w:spacing w:beforeLines="0" w:afterLines="0"/>
        <w:outlineLvl w:val="1"/>
        <w:rPr>
          <w:rFonts w:hint="default"/>
          <w:sz w:val="24"/>
          <w:szCs w:val="24"/>
        </w:rPr>
      </w:pPr>
      <w:r>
        <w:rPr>
          <w:rFonts w:hint="eastAsia"/>
          <w:sz w:val="24"/>
          <w:szCs w:val="24"/>
        </w:rPr>
        <w:t>四、主营业务分析</w:t>
      </w:r>
    </w:p>
    <w:p>
      <w:pPr>
        <w:pStyle w:val="7"/>
        <w:spacing w:beforeLines="0" w:afterLines="0"/>
        <w:outlineLvl w:val="2"/>
        <w:rPr>
          <w:rFonts w:hint="default"/>
          <w:sz w:val="21"/>
          <w:szCs w:val="24"/>
        </w:rPr>
      </w:pPr>
      <w:r>
        <w:rPr>
          <w:rFonts w:hint="default"/>
          <w:sz w:val="21"/>
          <w:szCs w:val="24"/>
        </w:rPr>
        <w:t>1</w:t>
      </w:r>
      <w:r>
        <w:rPr>
          <w:rFonts w:hint="eastAsia"/>
          <w:sz w:val="21"/>
          <w:szCs w:val="24"/>
        </w:rPr>
        <w:t>、概述</w:t>
      </w:r>
    </w:p>
    <w:p>
      <w:pPr>
        <w:autoSpaceDE w:val="0"/>
        <w:autoSpaceDN w:val="0"/>
        <w:adjustRightInd w:val="0"/>
        <w:spacing w:beforeLines="0" w:afterLines="0"/>
        <w:jc w:val="left"/>
        <w:rPr>
          <w:rFonts w:hint="default"/>
          <w:sz w:val="18"/>
          <w:szCs w:val="24"/>
          <w:lang w:val="zh-CN"/>
        </w:rPr>
      </w:pPr>
      <w:r>
        <w:rPr>
          <w:rFonts w:hint="eastAsia" w:ascii="宋体"/>
          <w:sz w:val="18"/>
          <w:szCs w:val="24"/>
          <w:lang w:val="zh-CN"/>
        </w:rPr>
        <w:t>参见</w:t>
      </w:r>
      <w:r>
        <w:rPr>
          <w:rFonts w:hint="default"/>
          <w:sz w:val="18"/>
          <w:szCs w:val="24"/>
          <w:lang w:val="zh-CN"/>
        </w:rPr>
        <w:t>“</w:t>
      </w:r>
      <w:r>
        <w:rPr>
          <w:rFonts w:hint="eastAsia" w:ascii="宋体"/>
          <w:sz w:val="18"/>
          <w:szCs w:val="24"/>
          <w:lang w:val="zh-CN"/>
        </w:rPr>
        <w:t>一、报告期内公司从事的主要业务</w:t>
      </w:r>
      <w:r>
        <w:rPr>
          <w:rFonts w:hint="default"/>
          <w:sz w:val="18"/>
          <w:szCs w:val="24"/>
          <w:lang w:val="zh-CN"/>
        </w:rPr>
        <w:t>”</w:t>
      </w:r>
      <w:r>
        <w:rPr>
          <w:rFonts w:hint="eastAsia" w:ascii="宋体"/>
          <w:sz w:val="18"/>
          <w:szCs w:val="24"/>
          <w:lang w:val="zh-CN"/>
        </w:rPr>
        <w:t>相关内容。</w:t>
      </w:r>
    </w:p>
    <w:p>
      <w:pPr>
        <w:pStyle w:val="7"/>
        <w:spacing w:beforeLines="0" w:afterLines="0"/>
        <w:outlineLvl w:val="2"/>
        <w:rPr>
          <w:rFonts w:hint="default"/>
          <w:sz w:val="21"/>
          <w:szCs w:val="24"/>
        </w:rPr>
      </w:pPr>
      <w:r>
        <w:rPr>
          <w:rFonts w:hint="default"/>
          <w:sz w:val="21"/>
          <w:szCs w:val="24"/>
        </w:rPr>
        <w:t>2</w:t>
      </w:r>
      <w:r>
        <w:rPr>
          <w:rFonts w:hint="eastAsia"/>
          <w:sz w:val="21"/>
          <w:szCs w:val="24"/>
        </w:rPr>
        <w:t>、收入与成本</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）营业收入构成</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占营业收入比重</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占营业收入比重</w:t>
            </w: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营业收入合计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415,162,743.70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right"/>
              <w:rPr>
                <w:rFonts w:hint="default"/>
                <w:sz w:val="18"/>
                <w:szCs w:val="24"/>
              </w:rPr>
            </w:pPr>
            <w:r>
              <w:rPr>
                <w:rFonts w:hint="default"/>
                <w:sz w:val="18"/>
                <w:szCs w:val="24"/>
              </w:rPr>
              <w:t>100%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344,590,024.63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right"/>
              <w:rPr>
                <w:rFonts w:hint="default"/>
                <w:sz w:val="18"/>
                <w:szCs w:val="24"/>
              </w:rPr>
            </w:pPr>
            <w:r>
              <w:rPr>
                <w:rFonts w:hint="default"/>
                <w:sz w:val="18"/>
                <w:szCs w:val="24"/>
              </w:rPr>
              <w:t>100%</w:t>
            </w: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主营业务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411,754,090.08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99.18%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343,353,901.86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99.64%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其他业务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3,408,653.62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1,236,122.77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175.75%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324,499,289.09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276,069,311.82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过滤器销售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22,027,103.98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18,900,753.51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阀门零件及管件销售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32,537,648.03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29,286,197.93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汽车配件</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32,624,388.62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19,097,638.60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3,474,313.98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1,236,122.77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内销收入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102,410,136.43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24.67%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68,548,419.01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出口收入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312,752,607.27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276,041,605.62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80.11%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6"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分销售模式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直销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47,133,952.04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37,155,632.93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经销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368,028,791.66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88.65%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307,434,391.70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19.71%</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）占公司营业收入或营业利润</w:t>
      </w:r>
      <w:r>
        <w:rPr>
          <w:rFonts w:hint="default"/>
          <w:sz w:val="21"/>
          <w:szCs w:val="24"/>
        </w:rPr>
        <w:t>10%</w:t>
      </w:r>
      <w:r>
        <w:rPr>
          <w:rFonts w:hint="eastAsia"/>
          <w:sz w:val="21"/>
          <w:szCs w:val="24"/>
        </w:rPr>
        <w:t>以上的行业、产品、地区、销售模式的情况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gridCol w:w="1366"/>
        <w:gridCol w:w="1366"/>
        <w:gridCol w:w="1367"/>
        <w:gridCol w:w="1367"/>
        <w:gridCol w:w="1367"/>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营业成本</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毛利率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营业收入比上年同期增减</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营业成本比上年同期增减</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毛利率比上年同期增减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主营业务</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411,754,090.08</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278,675,723.03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32.32%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19.92%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23.73%</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阀门销售</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324,499,289.09</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207,298,560.75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17.54%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20.27%</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内销收入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102,410,136.43</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77,167,950.25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24.65%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49.40%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47.10%</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出口收入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312,752,607.27</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201,507,772.78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13.30%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1" w:type="dxa"/>
            <w:gridSpan w:val="7"/>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分销售模式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直销</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47,133,952.04</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27,340,146.41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41.99%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4.37%</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经销</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368,028,791.66</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251,335,576.62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25.27%</w:t>
            </w:r>
          </w:p>
        </w:tc>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-8.73%</w:t>
            </w:r>
          </w:p>
        </w:tc>
      </w:tr>
    </w:tbl>
    <w:p>
      <w:pPr>
        <w:spacing w:beforeLines="0" w:afterLines="0"/>
        <w:jc w:val="left"/>
        <w:rPr>
          <w:rFonts w:hint="default"/>
          <w:sz w:val="18"/>
          <w:szCs w:val="24"/>
        </w:rPr>
      </w:pPr>
      <w:r>
        <w:rPr>
          <w:rFonts w:hint="eastAsia"/>
          <w:sz w:val="18"/>
          <w:szCs w:val="24"/>
        </w:rPr>
        <w:t>公司主营业务数据统计口径在报告期发生调整的情况下，公司最近</w:t>
      </w:r>
      <w:r>
        <w:rPr>
          <w:rFonts w:hint="default"/>
          <w:sz w:val="18"/>
          <w:szCs w:val="24"/>
        </w:rPr>
        <w:t>1</w:t>
      </w:r>
      <w:r>
        <w:rPr>
          <w:rFonts w:hint="eastAsia"/>
          <w:sz w:val="18"/>
          <w:szCs w:val="24"/>
        </w:rPr>
        <w:t>年按报告期末口径调整后的主营业务数据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）公司实物销售收入是否大于劳务收入</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行业分类</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制造业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销售量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428,903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426,884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生产量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427,220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441,552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库存量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套</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50,375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52,058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-3.23%</w:t>
            </w:r>
          </w:p>
        </w:tc>
      </w:tr>
    </w:tbl>
    <w:p>
      <w:pPr>
        <w:spacing w:beforeLines="0" w:afterLines="0"/>
        <w:jc w:val="left"/>
        <w:rPr>
          <w:rFonts w:hint="default"/>
          <w:sz w:val="18"/>
          <w:szCs w:val="24"/>
        </w:rPr>
      </w:pPr>
      <w:r>
        <w:rPr>
          <w:rFonts w:hint="eastAsia"/>
          <w:sz w:val="18"/>
          <w:szCs w:val="24"/>
        </w:rPr>
        <w:t>相关数据同比发生变动</w:t>
      </w:r>
      <w:r>
        <w:rPr>
          <w:rFonts w:hint="default"/>
          <w:sz w:val="18"/>
          <w:szCs w:val="24"/>
        </w:rPr>
        <w:t>30%</w:t>
      </w:r>
      <w:r>
        <w:rPr>
          <w:rFonts w:hint="eastAsia"/>
          <w:sz w:val="18"/>
          <w:szCs w:val="24"/>
        </w:rPr>
        <w:t>以上的原因说明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）公司已签订的重大销售合同、重大采购合同截至本报告期的履行情况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已签订的重大销售合同截至本报告期的履行情况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单位：万元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
        <w:gridCol w:w="957"/>
        <w:gridCol w:w="956"/>
        <w:gridCol w:w="956"/>
        <w:gridCol w:w="956"/>
        <w:gridCol w:w="956"/>
        <w:gridCol w:w="957"/>
        <w:gridCol w:w="957"/>
        <w:gridCol w:w="957"/>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合同标的</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对方当事人</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合同总金额</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合计已履行金额</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本报告期履行金额</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待履行金额</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是否正常履行</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合同未正常履行的说明</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本期及累计确认的销售收入金额</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应收帐款回款情况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深圳水务集团</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25,056.26</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392.57</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392.57</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14.15</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347.41</w:t>
            </w:r>
          </w:p>
        </w:tc>
        <w:tc>
          <w:tcPr>
            <w:tcW w:w="9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r>
              <w:rPr>
                <w:rFonts w:hint="eastAsia"/>
                <w:sz w:val="18"/>
                <w:szCs w:val="24"/>
              </w:rPr>
              <w:t>正常</w:t>
            </w:r>
          </w:p>
        </w:tc>
      </w:tr>
    </w:tbl>
    <w:p>
      <w:pPr>
        <w:spacing w:beforeLines="0" w:afterLines="0"/>
        <w:jc w:val="left"/>
        <w:rPr>
          <w:rFonts w:hint="default"/>
          <w:sz w:val="18"/>
          <w:szCs w:val="24"/>
        </w:rPr>
      </w:pPr>
      <w:r>
        <w:rPr>
          <w:rFonts w:hint="eastAsia"/>
          <w:sz w:val="18"/>
          <w:szCs w:val="24"/>
        </w:rPr>
        <w:t>重大合同进展与合同约定出现重大差异且影响合同金额</w:t>
      </w:r>
      <w:r>
        <w:rPr>
          <w:rFonts w:hint="default"/>
          <w:sz w:val="18"/>
          <w:szCs w:val="24"/>
        </w:rPr>
        <w:t>30%</w:t>
      </w:r>
      <w:r>
        <w:rPr>
          <w:rFonts w:hint="eastAsia"/>
          <w:sz w:val="18"/>
          <w:szCs w:val="24"/>
        </w:rPr>
        <w:t>以上</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已签订的重大采购合同截至本报告期的履行情况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）营业成本构成</w:t>
      </w:r>
    </w:p>
    <w:p>
      <w:pPr>
        <w:spacing w:beforeLines="0" w:afterLines="0"/>
        <w:jc w:val="left"/>
        <w:rPr>
          <w:rFonts w:hint="default"/>
          <w:sz w:val="18"/>
          <w:szCs w:val="24"/>
        </w:rPr>
      </w:pPr>
      <w:r>
        <w:rPr>
          <w:rFonts w:hint="eastAsia"/>
          <w:sz w:val="18"/>
          <w:szCs w:val="24"/>
        </w:rPr>
        <w:t>产品分类</w:t>
      </w:r>
    </w:p>
    <w:p>
      <w:pPr>
        <w:spacing w:beforeLines="0" w:afterLines="0"/>
        <w:jc w:val="left"/>
        <w:rPr>
          <w:rFonts w:hint="default"/>
          <w:sz w:val="18"/>
          <w:szCs w:val="24"/>
        </w:rPr>
      </w:pPr>
      <w:r>
        <w:rPr>
          <w:rFonts w:hint="eastAsia"/>
          <w:sz w:val="18"/>
          <w:szCs w:val="24"/>
        </w:rPr>
        <w:t>产品分类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产品分类</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占营业成本比重</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占营业成本比重</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207,298,560.75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172,367,152.93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76.53%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过滤器销售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13,961,581.49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12,271,681.33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阀门零件及管件销售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20,734,282.72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19,446,606.56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36,681,298.07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13.16%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21,146,710.26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40.18%</w:t>
            </w:r>
          </w:p>
        </w:tc>
      </w:tr>
    </w:tbl>
    <w:p>
      <w:pPr>
        <w:spacing w:beforeLines="0" w:afterLines="0"/>
        <w:jc w:val="left"/>
        <w:rPr>
          <w:rFonts w:hint="default"/>
          <w:sz w:val="18"/>
          <w:szCs w:val="24"/>
        </w:rPr>
      </w:pPr>
      <w:r>
        <w:rPr>
          <w:rFonts w:hint="eastAsia"/>
          <w:sz w:val="18"/>
          <w:szCs w:val="24"/>
        </w:rPr>
        <w:t>说明</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其他成本增长40.18%主要系因汽车配件销售增加所致。</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）报告期内合并范围是否发生变动</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7</w:t>
      </w:r>
      <w:r>
        <w:rPr>
          <w:rFonts w:hint="eastAsia"/>
          <w:sz w:val="21"/>
          <w:szCs w:val="24"/>
        </w:rPr>
        <w:t>）公司报告期内业务、产品或服务发生重大变化或调整有关情况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8</w:t>
      </w:r>
      <w:r>
        <w:rPr>
          <w:rFonts w:hint="eastAsia"/>
          <w:sz w:val="21"/>
          <w:szCs w:val="24"/>
        </w:rPr>
        <w:t>）主要销售客户和主要供应商情况</w:t>
      </w:r>
    </w:p>
    <w:p>
      <w:pPr>
        <w:spacing w:beforeLines="0" w:afterLines="0"/>
        <w:jc w:val="left"/>
        <w:rPr>
          <w:rFonts w:hint="default"/>
          <w:sz w:val="18"/>
          <w:szCs w:val="24"/>
        </w:rPr>
      </w:pPr>
      <w:r>
        <w:rPr>
          <w:rFonts w:hint="eastAsia"/>
          <w:sz w:val="18"/>
          <w:szCs w:val="24"/>
        </w:rPr>
        <w:t>公司主要销售客户情况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7"/>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前五名客户合计销售金额（元）</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95,812,551.41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前五名客户合计销售金额占年度销售总额比例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前五名客户销售额中关联方销售额占年度销售总额比例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bl>
    <w:p>
      <w:pPr>
        <w:spacing w:beforeLines="0" w:afterLines="0"/>
        <w:jc w:val="left"/>
        <w:rPr>
          <w:rFonts w:hint="default"/>
          <w:sz w:val="18"/>
          <w:szCs w:val="24"/>
        </w:rPr>
      </w:pPr>
      <w:r>
        <w:rPr>
          <w:rFonts w:hint="eastAsia"/>
          <w:sz w:val="18"/>
          <w:szCs w:val="24"/>
        </w:rPr>
        <w:t>公司前</w:t>
      </w:r>
      <w:r>
        <w:rPr>
          <w:rFonts w:hint="default"/>
          <w:sz w:val="18"/>
          <w:szCs w:val="24"/>
        </w:rPr>
        <w:t>5</w:t>
      </w:r>
      <w:r>
        <w:rPr>
          <w:rFonts w:hint="eastAsia"/>
          <w:sz w:val="18"/>
          <w:szCs w:val="24"/>
        </w:rPr>
        <w:t>大客户资料</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2"/>
        <w:gridCol w:w="3301"/>
        <w:gridCol w:w="2322"/>
        <w:gridCol w:w="3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序号</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客户名称</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销售额（元）</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占年度销售总额比例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27,655,025.03</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22,810,771.56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19,234,696.06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客户四</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14,464,662.71</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客户五</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11,647,396.05</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0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95,812,551.41</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23.08%</w:t>
            </w:r>
          </w:p>
        </w:tc>
      </w:tr>
    </w:tbl>
    <w:p>
      <w:pPr>
        <w:spacing w:beforeLines="0" w:afterLines="0"/>
        <w:jc w:val="left"/>
        <w:rPr>
          <w:rFonts w:hint="default"/>
          <w:sz w:val="18"/>
          <w:szCs w:val="24"/>
        </w:rPr>
      </w:pPr>
      <w:r>
        <w:rPr>
          <w:rFonts w:hint="eastAsia"/>
          <w:sz w:val="18"/>
          <w:szCs w:val="24"/>
        </w:rPr>
        <w:t>主要客户其他情况说明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公司主要供应商情况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7"/>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前五名供应商合计采购金额（元）</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43,530,890.70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前五名供应商合计采购金额占年度采购总额比例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前五名供应商采购额中关联方采购额占年度采购总额比例</w:t>
            </w:r>
          </w:p>
        </w:tc>
        <w:tc>
          <w:tcPr>
            <w:tcW w:w="531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bl>
    <w:p>
      <w:pPr>
        <w:spacing w:beforeLines="0" w:afterLines="0"/>
        <w:jc w:val="left"/>
        <w:rPr>
          <w:rFonts w:hint="default"/>
          <w:sz w:val="18"/>
          <w:szCs w:val="24"/>
        </w:rPr>
      </w:pPr>
      <w:r>
        <w:rPr>
          <w:rFonts w:hint="eastAsia"/>
          <w:sz w:val="18"/>
          <w:szCs w:val="24"/>
        </w:rPr>
        <w:t>公司前</w:t>
      </w:r>
      <w:r>
        <w:rPr>
          <w:rFonts w:hint="default"/>
          <w:sz w:val="18"/>
          <w:szCs w:val="24"/>
        </w:rPr>
        <w:t>5</w:t>
      </w:r>
      <w:r>
        <w:rPr>
          <w:rFonts w:hint="eastAsia"/>
          <w:sz w:val="18"/>
          <w:szCs w:val="24"/>
        </w:rPr>
        <w:t>名供应商资料</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5"/>
        <w:gridCol w:w="3168"/>
        <w:gridCol w:w="2322"/>
        <w:gridCol w:w="3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序号</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供应商名称</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采购额（元）</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占年度采购总额比例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供货商一</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14,759,436.52</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供货商二</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8,696,438.27</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供货商三</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6,708,125.36</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供货商四</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6,686,344.57</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供货商五</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6,680,545.98</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43,530,890.70</w:t>
            </w:r>
          </w:p>
        </w:tc>
        <w:tc>
          <w:tcPr>
            <w:tcW w:w="31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20.52%</w:t>
            </w:r>
          </w:p>
        </w:tc>
      </w:tr>
    </w:tbl>
    <w:p>
      <w:pPr>
        <w:spacing w:beforeLines="0" w:afterLines="0"/>
        <w:jc w:val="left"/>
        <w:rPr>
          <w:rFonts w:hint="default"/>
          <w:sz w:val="18"/>
          <w:szCs w:val="24"/>
        </w:rPr>
      </w:pPr>
      <w:r>
        <w:rPr>
          <w:rFonts w:hint="eastAsia"/>
          <w:sz w:val="18"/>
          <w:szCs w:val="24"/>
        </w:rPr>
        <w:t>主要供应商其他情况说明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5"/>
        <w:gridCol w:w="1637"/>
        <w:gridCol w:w="1637"/>
        <w:gridCol w:w="1461"/>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重大变动说明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销售费用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27,883,206.07</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20,821,013.58</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33.92%</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主要系检验费及认证费、佣金及咨询费增加所致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管理费用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21,801,211.38</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23,257,512.43</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主要系股票期权费及管理培训费减少所致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2,548,212.26</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1,789,082.58</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42.43%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主要系利息支出及汇兑损失增加所致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研发费用</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24,196,054.32</w:t>
            </w:r>
          </w:p>
        </w:tc>
        <w:tc>
          <w:tcPr>
            <w:tcW w:w="163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21,237,919.68</w:t>
            </w:r>
          </w:p>
        </w:tc>
        <w:tc>
          <w:tcPr>
            <w:tcW w:w="146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主要系研发项目增多导致材料增加所致</w:t>
            </w:r>
          </w:p>
        </w:tc>
      </w:tr>
    </w:tbl>
    <w:p>
      <w:pPr>
        <w:pStyle w:val="7"/>
        <w:spacing w:beforeLines="0" w:afterLines="0"/>
        <w:outlineLvl w:val="2"/>
        <w:rPr>
          <w:rFonts w:hint="default"/>
          <w:sz w:val="21"/>
          <w:szCs w:val="24"/>
        </w:rPr>
      </w:pPr>
      <w:r>
        <w:rPr>
          <w:rFonts w:hint="default"/>
          <w:sz w:val="21"/>
          <w:szCs w:val="24"/>
        </w:rPr>
        <w:t>4</w:t>
      </w:r>
      <w:r>
        <w:rPr>
          <w:rFonts w:hint="eastAsia"/>
          <w:sz w:val="21"/>
          <w:szCs w:val="24"/>
        </w:rPr>
        <w:t>、研发投入</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3"/>
        <w:gridCol w:w="1916"/>
        <w:gridCol w:w="1623"/>
        <w:gridCol w:w="2253"/>
        <w:gridCol w:w="2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主要研发项目名称</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项目目的</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项目进展</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拟达到的目标</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预计对公司未来发展的影响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高强度高韧性</w:t>
            </w:r>
            <w:r>
              <w:rPr>
                <w:rFonts w:hint="default"/>
                <w:sz w:val="18"/>
                <w:szCs w:val="24"/>
              </w:rPr>
              <w:t>QT800-5</w:t>
            </w:r>
            <w:r>
              <w:rPr>
                <w:rFonts w:hint="eastAsia"/>
                <w:sz w:val="18"/>
                <w:szCs w:val="24"/>
              </w:rPr>
              <w:t>球铁铸造工艺开发</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项目已按期完成</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自我补偿式平行闸板硬密封闸阀研发与应用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中试阶段</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给排水管路具有双向密封功能可更换密封阀座截断装置研究与应用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中试阶段</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长距离给排水管路水泵防护设备研究与应用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项目已按期完成</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给排水管路快速维护过滤装置研发与应用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小试阶段</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排污及污水处理长距离管路水锤防护装置研究与应用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小试阶段</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消防喷淋灭火系统中电子监控水流装置研究及应用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防爆系统中压力报警装置研究及应用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喷淋系统中具有延时功能的压力报警装置研究及应用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给排水管路感应压力差自动排水装置的研究和应用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给排水系统防水锤装置研究及应用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改进产品工艺，提高产品性能</w:t>
            </w:r>
          </w:p>
        </w:tc>
        <w:tc>
          <w:tcPr>
            <w:tcW w:w="16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项目已按期完成</w:t>
            </w:r>
            <w:r>
              <w:rPr>
                <w:rFonts w:hint="default"/>
                <w:sz w:val="18"/>
                <w:szCs w:val="24"/>
              </w:rPr>
              <w:t>"</w:t>
            </w:r>
          </w:p>
        </w:tc>
        <w:tc>
          <w:tcPr>
            <w:tcW w:w="22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对已有产品、工艺等实行突破性变革</w:t>
            </w:r>
          </w:p>
        </w:tc>
        <w:tc>
          <w:tcPr>
            <w:tcW w:w="22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提高产品竞争力及市场占有率，增加销售额及盈利能力。</w:t>
            </w:r>
          </w:p>
        </w:tc>
      </w:tr>
    </w:tbl>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公司研发人员情况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研发人员数量（人）</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研发人员数量占比</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研发人员学历结构</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本科</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硕士</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大专及以下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研发人员年龄构成</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30</w:t>
            </w:r>
            <w:r>
              <w:rPr>
                <w:rFonts w:hint="eastAsia"/>
                <w:sz w:val="18"/>
                <w:szCs w:val="24"/>
              </w:rPr>
              <w:t>岁以下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30~40</w:t>
            </w:r>
            <w:r>
              <w:rPr>
                <w:rFonts w:hint="eastAsia"/>
                <w:sz w:val="18"/>
                <w:szCs w:val="24"/>
              </w:rPr>
              <w:t>岁</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40</w:t>
            </w:r>
            <w:r>
              <w:rPr>
                <w:rFonts w:hint="eastAsia"/>
                <w:sz w:val="18"/>
                <w:szCs w:val="24"/>
              </w:rPr>
              <w:t>岁以上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81.48%</w:t>
            </w:r>
          </w:p>
        </w:tc>
      </w:tr>
    </w:tbl>
    <w:p>
      <w:pPr>
        <w:spacing w:beforeLines="0" w:afterLines="0"/>
        <w:jc w:val="left"/>
        <w:rPr>
          <w:rFonts w:hint="default"/>
          <w:sz w:val="18"/>
          <w:szCs w:val="24"/>
        </w:rPr>
      </w:pPr>
      <w:r>
        <w:rPr>
          <w:rFonts w:hint="eastAsia"/>
          <w:sz w:val="18"/>
          <w:szCs w:val="24"/>
        </w:rPr>
        <w:t>公司研发投入情况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研发投入金额（元）</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24,196,054.32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21,237,919.68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研发投入占营业收入比例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研发投入资本化的金额（元）</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资本化研发投入占研发投入的比例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bl>
    <w:p>
      <w:pPr>
        <w:spacing w:beforeLines="0" w:afterLines="0"/>
        <w:jc w:val="left"/>
        <w:rPr>
          <w:rFonts w:hint="default"/>
          <w:sz w:val="18"/>
          <w:szCs w:val="24"/>
        </w:rPr>
      </w:pPr>
      <w:r>
        <w:rPr>
          <w:rFonts w:hint="eastAsia"/>
          <w:sz w:val="18"/>
          <w:szCs w:val="24"/>
        </w:rPr>
        <w:t>公司研发人员构成发生重大变化的原因及影响</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研发人员数量增加43.33%，主要系因公司全资子公司被认定为高新技术企业后引进人才及研发项目增加所致；</w:t>
      </w:r>
    </w:p>
    <w:p>
      <w:pPr>
        <w:spacing w:beforeLines="0" w:afterLines="0"/>
        <w:jc w:val="left"/>
        <w:rPr>
          <w:rFonts w:hint="default"/>
          <w:sz w:val="18"/>
          <w:szCs w:val="24"/>
        </w:rPr>
      </w:pPr>
      <w:r>
        <w:rPr>
          <w:rFonts w:hint="eastAsia"/>
          <w:sz w:val="18"/>
          <w:szCs w:val="24"/>
        </w:rPr>
        <w:t>研发投入总额占营业收入的比重较上年发生显著变化的原因</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研发投入资本化率大幅变动的原因及其合理性说明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5</w:t>
      </w:r>
      <w:r>
        <w:rPr>
          <w:rFonts w:hint="eastAsia"/>
          <w:sz w:val="21"/>
          <w:szCs w:val="24"/>
        </w:rPr>
        <w:t>、现金流</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同比增减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420,995,148.69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404,076,140.79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409,607,819.18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314,130,011.04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11,387,329.51</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89,946,129.75</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472,520,357.45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739,608,711.16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379,577,653.08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837,632,618.50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92,942,704.37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-98,023,907.34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筹资活动现金流入小计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87,100,000.00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51,191,019.10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筹资活动现金流出小计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151,018,811.29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53,292,583.40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筹资活动产生的现金流量净额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-63,918,811.29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-2,101,564.30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-2,941.49%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现金及现金等价物净增加额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39,734,156.17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-10,965,809.17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-462.35%</w:t>
            </w:r>
          </w:p>
        </w:tc>
      </w:tr>
    </w:tbl>
    <w:p>
      <w:pPr>
        <w:spacing w:beforeLines="0" w:afterLines="0"/>
        <w:jc w:val="left"/>
        <w:rPr>
          <w:rFonts w:hint="default"/>
          <w:sz w:val="18"/>
          <w:szCs w:val="24"/>
        </w:rPr>
      </w:pPr>
      <w:r>
        <w:rPr>
          <w:rFonts w:hint="eastAsia"/>
          <w:sz w:val="18"/>
          <w:szCs w:val="24"/>
        </w:rPr>
        <w:t>相关数据同比发生重大变动的主要影响因素说明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经营活动现金流出小计增长30.39%，主要系因支付货款及支付薪酬所致；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投资活动现金流入小计降低36.11%，主要系因赎回的理财资金减少所致；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投资活动现金流出小计降低54.68%，主要系因投资的理财资金减少所致；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投资活动产生的现金流量净额降低194.82%，主要系因投资的理财资金减少所致；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筹资活动现金流入小计增加70.15%，主要系因收到股权激励及股权转让款增加所致；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筹资活动现金流出小计增加183.38%，主要系因偿还借款、信用证到期及股份回购增多所致；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筹资活动产生的现金流量净额降低2941.49%，主要系因偿还借款、信用证到期及股份回购增多所致；</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现金及现金等价物净增加额降低462.35%，主要系因投资业务活动收到净现金流增加所致；</w:t>
      </w:r>
    </w:p>
    <w:p>
      <w:pPr>
        <w:spacing w:beforeLines="0" w:afterLines="0"/>
        <w:jc w:val="left"/>
        <w:rPr>
          <w:rFonts w:hint="default"/>
          <w:sz w:val="18"/>
          <w:szCs w:val="24"/>
        </w:rPr>
      </w:pPr>
      <w:r>
        <w:rPr>
          <w:rFonts w:hint="eastAsia"/>
          <w:sz w:val="18"/>
          <w:szCs w:val="24"/>
        </w:rPr>
        <w:t>报告期内公司经营活动产生的现金净流量与本年度净利润存在重大差异的原因说明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经营活动产生的现金流量净额降低87.34%，主要系因本年度经营流出的现金流大于经营流入的现金流所致；</w:t>
      </w:r>
    </w:p>
    <w:p>
      <w:pPr>
        <w:pStyle w:val="6"/>
        <w:spacing w:beforeLines="0" w:afterLines="0"/>
        <w:outlineLvl w:val="1"/>
        <w:rPr>
          <w:rFonts w:hint="default"/>
          <w:sz w:val="24"/>
          <w:szCs w:val="24"/>
        </w:rPr>
      </w:pPr>
      <w:r>
        <w:rPr>
          <w:rFonts w:hint="eastAsia"/>
          <w:sz w:val="24"/>
          <w:szCs w:val="24"/>
        </w:rPr>
        <w:t>五、非主营业务分析</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六、资产及负债状况分析</w:t>
      </w:r>
    </w:p>
    <w:p>
      <w:pPr>
        <w:pStyle w:val="7"/>
        <w:spacing w:beforeLines="0" w:afterLines="0"/>
        <w:outlineLvl w:val="2"/>
        <w:rPr>
          <w:rFonts w:hint="default"/>
          <w:sz w:val="21"/>
          <w:szCs w:val="24"/>
        </w:rPr>
      </w:pPr>
      <w:r>
        <w:rPr>
          <w:rFonts w:hint="default"/>
          <w:sz w:val="21"/>
          <w:szCs w:val="24"/>
        </w:rPr>
        <w:t>1</w:t>
      </w:r>
      <w:r>
        <w:rPr>
          <w:rFonts w:hint="eastAsia"/>
          <w:sz w:val="21"/>
          <w:szCs w:val="24"/>
        </w:rPr>
        <w:t>、资产构成重大变动情况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164"/>
        <w:gridCol w:w="1063"/>
        <w:gridCol w:w="1195"/>
        <w:gridCol w:w="1063"/>
        <w:gridCol w:w="798"/>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222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年末</w:t>
            </w:r>
          </w:p>
        </w:tc>
        <w:tc>
          <w:tcPr>
            <w:tcW w:w="225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年初</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比重增减</w:t>
            </w:r>
          </w:p>
        </w:tc>
        <w:tc>
          <w:tcPr>
            <w:tcW w:w="291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重大变动说明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占总资产比例</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占总资产比例</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291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96,516,652.97</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10.85%</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57,715,316.04</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6.64%</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4.21%</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应收账款</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71,854,562.96</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8.07%</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50,843,941.41</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112,522,186.11</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12.64%</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74,218,386.35</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投资性房地产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5,578,661.78</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0.63%</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6,287,492.43</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0.72%</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固定资产</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250,212,871.99</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28.12%</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245,669,062.62</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28.25%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-0.13%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在建工程</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4,649,676.26</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0.52%</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12,829,256.89</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1.48%</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-0.96%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短期借款</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31,000,000.00</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3.48%</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49,586,141.87</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合同负债</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16,522,851.95</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1.86%</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21,659,525.49</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-0.63%</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bl>
    <w:p>
      <w:pPr>
        <w:spacing w:beforeLines="0" w:afterLines="0"/>
        <w:jc w:val="left"/>
        <w:rPr>
          <w:rFonts w:hint="default"/>
          <w:sz w:val="18"/>
          <w:szCs w:val="24"/>
        </w:rPr>
      </w:pPr>
      <w:r>
        <w:rPr>
          <w:rFonts w:hint="eastAsia"/>
          <w:sz w:val="18"/>
          <w:szCs w:val="24"/>
        </w:rPr>
        <w:t>境外资产占比较高</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、以公允价值计量的资产和负债</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、截至报告期末的资产权利受限情况</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6"/>
        <w:spacing w:beforeLines="0" w:afterLines="0"/>
        <w:outlineLvl w:val="1"/>
        <w:rPr>
          <w:rFonts w:hint="default"/>
          <w:sz w:val="24"/>
          <w:szCs w:val="24"/>
        </w:rPr>
      </w:pPr>
      <w:r>
        <w:rPr>
          <w:rFonts w:hint="eastAsia"/>
          <w:sz w:val="24"/>
          <w:szCs w:val="24"/>
        </w:rPr>
        <w:t>七、投资状况分析</w:t>
      </w:r>
    </w:p>
    <w:p>
      <w:pPr>
        <w:pStyle w:val="7"/>
        <w:spacing w:beforeLines="0" w:afterLines="0"/>
        <w:outlineLvl w:val="2"/>
        <w:rPr>
          <w:rFonts w:hint="default"/>
          <w:sz w:val="21"/>
          <w:szCs w:val="24"/>
        </w:rPr>
      </w:pPr>
      <w:r>
        <w:rPr>
          <w:rFonts w:hint="default"/>
          <w:sz w:val="21"/>
          <w:szCs w:val="24"/>
        </w:rPr>
        <w:t>1</w:t>
      </w:r>
      <w:r>
        <w:rPr>
          <w:rFonts w:hint="eastAsia"/>
          <w:sz w:val="21"/>
          <w:szCs w:val="24"/>
        </w:rPr>
        <w:t>、总体情况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、报告期内获取的重大的股权投资情况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、报告期内正在进行的重大的非股权投资情况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4</w:t>
      </w:r>
      <w:r>
        <w:rPr>
          <w:rFonts w:hint="eastAsia"/>
          <w:sz w:val="21"/>
          <w:szCs w:val="24"/>
        </w:rPr>
        <w:t>、金融资产投资</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）证券投资情况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公司报告期不存在证券投资。</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）衍生品投资情况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公司报告期不存在衍生品投资。</w:t>
      </w:r>
    </w:p>
    <w:p>
      <w:pPr>
        <w:pStyle w:val="7"/>
        <w:spacing w:beforeLines="0" w:afterLines="0"/>
        <w:outlineLvl w:val="2"/>
        <w:rPr>
          <w:rFonts w:hint="default"/>
          <w:sz w:val="21"/>
          <w:szCs w:val="24"/>
        </w:rPr>
      </w:pPr>
      <w:r>
        <w:rPr>
          <w:rFonts w:hint="default"/>
          <w:sz w:val="21"/>
          <w:szCs w:val="24"/>
        </w:rPr>
        <w:t>5</w:t>
      </w:r>
      <w:r>
        <w:rPr>
          <w:rFonts w:hint="eastAsia"/>
          <w:sz w:val="21"/>
          <w:szCs w:val="24"/>
        </w:rPr>
        <w:t>、募集资金使用情况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公司报告期无募集资金使用情况。</w:t>
      </w:r>
    </w:p>
    <w:p>
      <w:pPr>
        <w:pStyle w:val="6"/>
        <w:spacing w:beforeLines="0" w:afterLines="0"/>
        <w:outlineLvl w:val="1"/>
        <w:rPr>
          <w:rFonts w:hint="default"/>
          <w:sz w:val="24"/>
          <w:szCs w:val="24"/>
        </w:rPr>
      </w:pPr>
      <w:r>
        <w:rPr>
          <w:rFonts w:hint="eastAsia"/>
          <w:sz w:val="24"/>
          <w:szCs w:val="24"/>
        </w:rPr>
        <w:t>八、重大资产和股权出售</w:t>
      </w:r>
    </w:p>
    <w:p>
      <w:pPr>
        <w:pStyle w:val="7"/>
        <w:spacing w:beforeLines="0" w:afterLines="0"/>
        <w:outlineLvl w:val="2"/>
        <w:rPr>
          <w:rFonts w:hint="default"/>
          <w:sz w:val="21"/>
          <w:szCs w:val="24"/>
        </w:rPr>
      </w:pPr>
      <w:r>
        <w:rPr>
          <w:rFonts w:hint="default"/>
          <w:sz w:val="21"/>
          <w:szCs w:val="24"/>
        </w:rPr>
        <w:t>1</w:t>
      </w:r>
      <w:r>
        <w:rPr>
          <w:rFonts w:hint="eastAsia"/>
          <w:sz w:val="21"/>
          <w:szCs w:val="24"/>
        </w:rPr>
        <w:t>、出售重大资产情况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公司报告期未出售重大资产。</w:t>
      </w:r>
    </w:p>
    <w:p>
      <w:pPr>
        <w:pStyle w:val="7"/>
        <w:spacing w:beforeLines="0" w:afterLines="0"/>
        <w:outlineLvl w:val="2"/>
        <w:rPr>
          <w:rFonts w:hint="default"/>
          <w:sz w:val="21"/>
          <w:szCs w:val="24"/>
        </w:rPr>
      </w:pPr>
      <w:r>
        <w:rPr>
          <w:rFonts w:hint="default"/>
          <w:sz w:val="21"/>
          <w:szCs w:val="24"/>
        </w:rPr>
        <w:t>2</w:t>
      </w:r>
      <w:r>
        <w:rPr>
          <w:rFonts w:hint="eastAsia"/>
          <w:sz w:val="21"/>
          <w:szCs w:val="24"/>
        </w:rPr>
        <w:t>、出售重大股权情况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九、主要控股参股公司分析</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公司报告期内无应当披露的重要控股参股公司信息。</w:t>
      </w:r>
    </w:p>
    <w:p>
      <w:pPr>
        <w:pStyle w:val="6"/>
        <w:spacing w:beforeLines="0" w:afterLines="0"/>
        <w:outlineLvl w:val="1"/>
        <w:rPr>
          <w:rFonts w:hint="default"/>
          <w:sz w:val="24"/>
          <w:szCs w:val="24"/>
        </w:rPr>
      </w:pPr>
      <w:r>
        <w:rPr>
          <w:rFonts w:hint="eastAsia"/>
          <w:sz w:val="24"/>
          <w:szCs w:val="24"/>
        </w:rPr>
        <w:t>十、公司控制的结构化主体情况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十一、公司未来发展的展望</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（一）公司规范化治理方面</w:t>
      </w:r>
    </w:p>
    <w:p>
      <w:pPr>
        <w:spacing w:beforeLines="0" w:afterLines="0"/>
        <w:ind w:firstLine="360" w:firstLineChars="200"/>
        <w:jc w:val="left"/>
        <w:rPr>
          <w:rFonts w:hint="default"/>
          <w:color w:val="auto"/>
          <w:sz w:val="18"/>
          <w:szCs w:val="24"/>
        </w:rPr>
      </w:pPr>
      <w:r>
        <w:rPr>
          <w:rFonts w:hint="eastAsia"/>
          <w:color w:val="auto"/>
          <w:sz w:val="18"/>
          <w:szCs w:val="24"/>
          <w:lang w:val="zh-CN"/>
        </w:rPr>
        <w:t>公司将严格按照《公司法》、《证券法》、《深圳证券交易所股票上市规则》、《</w:t>
      </w:r>
      <w:r>
        <w:rPr>
          <w:rFonts w:hint="eastAsia"/>
          <w:color w:val="auto"/>
          <w:sz w:val="18"/>
          <w:szCs w:val="24"/>
        </w:rPr>
        <w:t>深圳证券交易所上市公司自律监管指引第</w:t>
      </w:r>
      <w:r>
        <w:rPr>
          <w:rFonts w:hint="default"/>
          <w:color w:val="auto"/>
          <w:sz w:val="18"/>
          <w:szCs w:val="24"/>
        </w:rPr>
        <w:t>1</w:t>
      </w:r>
      <w:r>
        <w:rPr>
          <w:rFonts w:hint="eastAsia"/>
          <w:color w:val="auto"/>
          <w:sz w:val="18"/>
          <w:szCs w:val="24"/>
        </w:rPr>
        <w:t>号</w:t>
      </w:r>
      <w:r>
        <w:rPr>
          <w:rFonts w:hint="default"/>
          <w:color w:val="auto"/>
          <w:sz w:val="18"/>
          <w:szCs w:val="24"/>
        </w:rPr>
        <w:t>——</w:t>
      </w:r>
      <w:r>
        <w:rPr>
          <w:rFonts w:hint="eastAsia"/>
          <w:color w:val="auto"/>
          <w:sz w:val="18"/>
          <w:szCs w:val="24"/>
        </w:rPr>
        <w:t>主板上市公司规范运作</w:t>
      </w:r>
      <w:r>
        <w:rPr>
          <w:rFonts w:hint="eastAsia"/>
          <w:color w:val="auto"/>
          <w:sz w:val="18"/>
          <w:szCs w:val="24"/>
          <w:lang w:val="zh-CN"/>
        </w:rPr>
        <w:t>》等法律、法规的要求，结合公司实际情况，规范治理架构，以真实完整的信息披露、良好互动的投资者关系、严格有效的内部控制和风险控制体系，诚信经营管理，不断完善法人治理结构，规范公司运作，切实保障全体投资者与公司利益的最大化。</w:t>
      </w:r>
    </w:p>
    <w:p>
      <w:pPr>
        <w:numPr>
          <w:ilvl w:val="0"/>
          <w:numId w:val="1"/>
        </w:numPr>
        <w:spacing w:beforeLines="0" w:afterLines="0"/>
        <w:ind w:firstLine="360" w:firstLineChars="200"/>
        <w:jc w:val="left"/>
        <w:rPr>
          <w:rFonts w:hint="default"/>
          <w:color w:val="auto"/>
          <w:sz w:val="18"/>
          <w:szCs w:val="24"/>
          <w:lang w:val="zh-CN"/>
        </w:rPr>
      </w:pPr>
      <w:r>
        <w:rPr>
          <w:rFonts w:hint="eastAsia"/>
          <w:color w:val="auto"/>
          <w:sz w:val="18"/>
          <w:szCs w:val="24"/>
          <w:lang w:val="zh-CN"/>
        </w:rPr>
        <w:t>信息披露方面</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董事会将继续严格按照《公司法》、《证券法》、《上市公司信息披露管理办法》、《深圳证券交易所股票上市规则》、《深圳证券交易所上市公司自律监管指引第</w:t>
      </w:r>
      <w:r>
        <w:rPr>
          <w:rFonts w:hint="default"/>
          <w:color w:val="auto"/>
          <w:sz w:val="18"/>
          <w:szCs w:val="24"/>
          <w:lang w:val="zh-CN"/>
        </w:rPr>
        <w:t>5</w:t>
      </w:r>
      <w:r>
        <w:rPr>
          <w:rFonts w:hint="eastAsia"/>
          <w:color w:val="auto"/>
          <w:sz w:val="18"/>
          <w:szCs w:val="24"/>
          <w:lang w:val="zh-CN"/>
        </w:rPr>
        <w:t>号</w:t>
      </w:r>
      <w:r>
        <w:rPr>
          <w:rFonts w:hint="default"/>
          <w:color w:val="auto"/>
          <w:sz w:val="18"/>
          <w:szCs w:val="24"/>
          <w:lang w:val="zh-CN"/>
        </w:rPr>
        <w:t>——</w:t>
      </w:r>
      <w:r>
        <w:rPr>
          <w:rFonts w:hint="eastAsia"/>
          <w:color w:val="auto"/>
          <w:sz w:val="18"/>
          <w:szCs w:val="24"/>
          <w:lang w:val="zh-CN"/>
        </w:rPr>
        <w:t>信息披露事务管理》等法律法规、规范性文件和《公司章程》的规定，认真自觉履行信息披露义务，严把信息披露质量关，切实提高公司规范运作水平和透明度。</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（三）投资者关系管理</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董事会将继续重视投资者关系管理工作，通过公司官网网站、投资者交流会、电话、邮箱、互动易平台、现场调研、网上说明会等多种渠道加强与投资者的联系和沟通。合理安排机构投资者、新闻媒体等特定对象到公司现场参观、座谈、调研等接待工作，并切实做好未公开信息的内部知情人登记和保密工作。采用现场会议和网络投票相结合的方式召开股东大会，以便于广大投资者的积极参与；充分利用公司网站传递相关信息，以便于投资者快捷获取公司信息，切实保护投资者利益，树立良好的公司形象。</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（四）公司面临的主要风险</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1</w:t>
      </w:r>
      <w:r>
        <w:rPr>
          <w:rFonts w:hint="eastAsia"/>
          <w:color w:val="auto"/>
          <w:sz w:val="18"/>
          <w:szCs w:val="24"/>
          <w:lang w:val="zh-CN"/>
        </w:rPr>
        <w:t>、市场风险</w:t>
      </w:r>
      <w:r>
        <w:rPr>
          <w:rFonts w:hint="default"/>
          <w:color w:val="auto"/>
          <w:sz w:val="18"/>
          <w:szCs w:val="24"/>
          <w:lang w:val="zh-CN"/>
        </w:rPr>
        <w:t xml:space="preserve"> </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1</w:t>
      </w:r>
      <w:r>
        <w:rPr>
          <w:rFonts w:hint="eastAsia"/>
          <w:color w:val="auto"/>
          <w:sz w:val="18"/>
          <w:szCs w:val="24"/>
          <w:lang w:val="zh-CN"/>
        </w:rPr>
        <w:t>）海外市场拓展及贸易政策变化的风险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公司产品主要以出口为主，报告期内公司产品出口收入在</w:t>
      </w:r>
      <w:r>
        <w:rPr>
          <w:rFonts w:hint="default"/>
          <w:color w:val="auto"/>
          <w:sz w:val="18"/>
          <w:szCs w:val="24"/>
          <w:lang w:val="zh-CN"/>
        </w:rPr>
        <w:t>80%</w:t>
      </w:r>
      <w:r>
        <w:rPr>
          <w:rFonts w:hint="eastAsia"/>
          <w:color w:val="auto"/>
          <w:sz w:val="18"/>
          <w:szCs w:val="24"/>
          <w:lang w:val="zh-CN"/>
        </w:rPr>
        <w:t>以上。产品主要销往欧洲、美国、亚洲、大洋洲等国际市场。随着国际地缘动乱政治不稳定、全球经济发展受新冠肺炎疫情影响复苏趋势缓慢和美、欧国家对新兴经济体贸易战的影响，未来若上述国家和地区对阀门产品的进口贸易政策或产品认证发生变化，全球经济增长前景仍存在一定的不确定性，公司出口业务可能面临着一定的海外市场拓展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2</w:t>
      </w:r>
      <w:r>
        <w:rPr>
          <w:rFonts w:hint="eastAsia"/>
          <w:color w:val="auto"/>
          <w:sz w:val="18"/>
          <w:szCs w:val="24"/>
          <w:lang w:val="zh-CN"/>
        </w:rPr>
        <w:t>）国内市场竞争加剧的风险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据中国通用机械协会阀门分会统计，国内阀门生产企业销售规模以上的企业数量达到</w:t>
      </w:r>
      <w:r>
        <w:rPr>
          <w:rFonts w:hint="default"/>
          <w:color w:val="auto"/>
          <w:sz w:val="18"/>
          <w:szCs w:val="24"/>
          <w:lang w:val="zh-CN"/>
        </w:rPr>
        <w:t>2,000</w:t>
      </w:r>
      <w:r>
        <w:rPr>
          <w:rFonts w:hint="eastAsia"/>
          <w:color w:val="auto"/>
          <w:sz w:val="18"/>
          <w:szCs w:val="24"/>
          <w:lang w:val="zh-CN"/>
        </w:rPr>
        <w:t>余家，国内阀门市场尤其是中低端给排水阀门市场竞争较为激烈。公司虽然是目前国内较大的给排水阀门生产企业之一，但随着国内阀门企业生产规模的逐渐扩大和国外资金、先进技术的不断转移，面临着市场竞争将进一步加剧的风险。</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2</w:t>
      </w:r>
      <w:r>
        <w:rPr>
          <w:rFonts w:hint="eastAsia"/>
          <w:color w:val="auto"/>
          <w:sz w:val="18"/>
          <w:szCs w:val="24"/>
          <w:lang w:val="zh-CN"/>
        </w:rPr>
        <w:t>、经营风险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1</w:t>
      </w:r>
      <w:r>
        <w:rPr>
          <w:rFonts w:hint="eastAsia"/>
          <w:color w:val="auto"/>
          <w:sz w:val="18"/>
          <w:szCs w:val="24"/>
          <w:lang w:val="zh-CN"/>
        </w:rPr>
        <w:t>）原材料价格波动的风险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公司阀门产品的主要原材料为铸件、生铁和废钢及有色金属，其中铸件价格的变化主要取决于钢铁价格的变化情况。报告期内，原材料成本占公司主营业务成本的比例在</w:t>
      </w:r>
      <w:r>
        <w:rPr>
          <w:rFonts w:hint="default"/>
          <w:color w:val="auto"/>
          <w:sz w:val="18"/>
          <w:szCs w:val="24"/>
          <w:lang w:val="zh-CN"/>
        </w:rPr>
        <w:t>60%-70%</w:t>
      </w:r>
      <w:r>
        <w:rPr>
          <w:rFonts w:hint="eastAsia"/>
          <w:color w:val="auto"/>
          <w:sz w:val="18"/>
          <w:szCs w:val="24"/>
          <w:lang w:val="zh-CN"/>
        </w:rPr>
        <w:t>。</w:t>
      </w:r>
      <w:r>
        <w:rPr>
          <w:rFonts w:hint="default"/>
          <w:color w:val="auto"/>
          <w:sz w:val="18"/>
          <w:szCs w:val="24"/>
          <w:lang w:val="zh-CN"/>
        </w:rPr>
        <w:t>2021</w:t>
      </w:r>
      <w:r>
        <w:rPr>
          <w:rFonts w:hint="eastAsia"/>
          <w:color w:val="auto"/>
          <w:sz w:val="18"/>
          <w:szCs w:val="24"/>
          <w:lang w:val="zh-CN"/>
        </w:rPr>
        <w:t>年以来，钢铁、有色金属等大宗物资价格大幅上涨，未来若主要原材料价格仍然趋于上行周期，将引起公司产品成本增加的波动，公司面临着原材料价格波动上涨的风险。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2</w:t>
      </w:r>
      <w:r>
        <w:rPr>
          <w:rFonts w:hint="eastAsia"/>
          <w:color w:val="auto"/>
          <w:sz w:val="18"/>
          <w:szCs w:val="24"/>
          <w:lang w:val="zh-CN"/>
        </w:rPr>
        <w:t>）产品质量稳定性的风险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生产的给排水、消防阀门产品主要应用于城镇给排水系统和消防给水系统，阀门的质量、性能和环保能力与人们的日常生活和身体健康息息相关，其产品质量的稳定性、安全性、环保性是终端客户关注的要点。通过不断完善和提升公司质量控制体系，公司产品技术性能优良且质量一直保持稳定，为公司赢得了良好的市场信誉。但由于阀门产品生产环节较多、生产过程复杂，因此不排除因某一环节质量控制疏忽而导致产品出现质量问题，从而对公司市场声誉造成损害，进而影响公司的生产经营与市场开拓业绩，公司存在一定的产品质量稳定性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3</w:t>
      </w:r>
      <w:r>
        <w:rPr>
          <w:rFonts w:hint="eastAsia"/>
          <w:color w:val="auto"/>
          <w:sz w:val="18"/>
          <w:szCs w:val="24"/>
          <w:lang w:val="zh-CN"/>
        </w:rPr>
        <w:t>）人力资源风险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公司所属阀门行业是一个集资金、技术、劳动力相对密集的产业。经过</w:t>
      </w:r>
      <w:r>
        <w:rPr>
          <w:rFonts w:hint="default"/>
          <w:color w:val="auto"/>
          <w:sz w:val="18"/>
          <w:szCs w:val="24"/>
          <w:lang w:val="zh-CN"/>
        </w:rPr>
        <w:t>20</w:t>
      </w:r>
      <w:r>
        <w:rPr>
          <w:rFonts w:hint="eastAsia"/>
          <w:color w:val="auto"/>
          <w:sz w:val="18"/>
          <w:szCs w:val="24"/>
          <w:lang w:val="zh-CN"/>
        </w:rPr>
        <w:t>多年的发展，公司聚集了一批具有丰富实践经验和专业技能的研发技术、生产、销售、管理人才。随着公司经营规模的逐渐扩大，公司对高层次管理人才、技术人才和熟练技术工人的需求增加，人才引进已成为公司人力资源管理工作的重点，加之有意愿入职制造业就业的专业技术人才及普通劳动力不断减少的社会现状，公司在吸引优秀人才、稳定人才队伍、避免人才短缺和流失方面存在一定的风险。</w:t>
      </w:r>
      <w:r>
        <w:rPr>
          <w:rFonts w:hint="default"/>
          <w:color w:val="auto"/>
          <w:sz w:val="18"/>
          <w:szCs w:val="24"/>
          <w:lang w:val="zh-CN"/>
        </w:rPr>
        <w:t xml:space="preserve"> </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4</w:t>
      </w:r>
      <w:r>
        <w:rPr>
          <w:rFonts w:hint="eastAsia"/>
          <w:color w:val="auto"/>
          <w:sz w:val="18"/>
          <w:szCs w:val="24"/>
          <w:lang w:val="zh-CN"/>
        </w:rPr>
        <w:t>）劳动力成本上升的风险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随着我国工业化、城镇化进程的持续推进和劳动力素质的不断提高，劳动力成本持续上升已成为我国经济发展的普遍现象和众多企业面临的共性问题。公司通过实施精益化生产管理、引进智能化专业设备等措施降低成本，使劳动力成本在公司相关成本费用构成中所占比重保持相对稳定，但随着制造业劳动力成本的快速上升，仍然可能会推动公司产品价格的提高，从而可能对公司产品在市场竞争中带来一定不利影响。</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3</w:t>
      </w:r>
      <w:r>
        <w:rPr>
          <w:rFonts w:hint="eastAsia"/>
          <w:color w:val="auto"/>
          <w:sz w:val="18"/>
          <w:szCs w:val="24"/>
          <w:lang w:val="zh-CN"/>
        </w:rPr>
        <w:t>、汇率波动风险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自国家汇率制度改革以来，人民币汇率（兑美元）波动幅度较大，由于公司出口产品主要以美元作为结算货币以及出口收入存在结算周期，</w:t>
      </w:r>
      <w:r>
        <w:rPr>
          <w:rFonts w:hint="default"/>
          <w:color w:val="auto"/>
          <w:sz w:val="18"/>
          <w:szCs w:val="24"/>
          <w:lang w:val="zh-CN"/>
        </w:rPr>
        <w:t>2021</w:t>
      </w:r>
      <w:r>
        <w:rPr>
          <w:rFonts w:hint="eastAsia"/>
          <w:color w:val="auto"/>
          <w:sz w:val="18"/>
          <w:szCs w:val="24"/>
          <w:lang w:val="zh-CN"/>
        </w:rPr>
        <w:t>年以来人民币兑美元汇率持续升值的波动较大，将对公司经营业绩产生一定影响。</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4</w:t>
      </w:r>
      <w:r>
        <w:rPr>
          <w:rFonts w:hint="eastAsia"/>
          <w:color w:val="auto"/>
          <w:sz w:val="18"/>
          <w:szCs w:val="24"/>
          <w:lang w:val="zh-CN"/>
        </w:rPr>
        <w:t>、政策风险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1</w:t>
      </w:r>
      <w:r>
        <w:rPr>
          <w:rFonts w:hint="eastAsia"/>
          <w:color w:val="auto"/>
          <w:sz w:val="18"/>
          <w:szCs w:val="24"/>
          <w:lang w:val="zh-CN"/>
        </w:rPr>
        <w:t>）出口退税率下调或者取消的风险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公司出口产品享受增值税</w:t>
      </w:r>
      <w:r>
        <w:rPr>
          <w:rFonts w:hint="default"/>
          <w:color w:val="auto"/>
          <w:sz w:val="18"/>
          <w:szCs w:val="24"/>
          <w:lang w:val="zh-CN"/>
        </w:rPr>
        <w:t>“</w:t>
      </w:r>
      <w:r>
        <w:rPr>
          <w:rFonts w:hint="eastAsia"/>
          <w:color w:val="auto"/>
          <w:sz w:val="18"/>
          <w:szCs w:val="24"/>
          <w:lang w:val="zh-CN"/>
        </w:rPr>
        <w:t>免、抵、退</w:t>
      </w:r>
      <w:r>
        <w:rPr>
          <w:rFonts w:hint="default"/>
          <w:color w:val="auto"/>
          <w:sz w:val="18"/>
          <w:szCs w:val="24"/>
          <w:lang w:val="zh-CN"/>
        </w:rPr>
        <w:t>”</w:t>
      </w:r>
      <w:r>
        <w:rPr>
          <w:rFonts w:hint="eastAsia"/>
          <w:color w:val="auto"/>
          <w:sz w:val="18"/>
          <w:szCs w:val="24"/>
          <w:lang w:val="zh-CN"/>
        </w:rPr>
        <w:t>政策，报告期内，公司产品执行国家规定调整的出口退税率。从长期来看，出口退税作为一种政府补贴手段，随着我国企业竞争实力的增强以及经济环境的变化，未来出口退税率的调整将对公司经营业绩产生一定影响。</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w:t>
      </w:r>
      <w:r>
        <w:rPr>
          <w:rFonts w:hint="default"/>
          <w:color w:val="auto"/>
          <w:sz w:val="18"/>
          <w:szCs w:val="24"/>
          <w:lang w:val="zh-CN"/>
        </w:rPr>
        <w:t>2</w:t>
      </w:r>
      <w:r>
        <w:rPr>
          <w:rFonts w:hint="eastAsia"/>
          <w:color w:val="auto"/>
          <w:sz w:val="18"/>
          <w:szCs w:val="24"/>
          <w:lang w:val="zh-CN"/>
        </w:rPr>
        <w:t>）税收优惠政策变化的风险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公司及莱州伟隆子公司取得高新技术企业资格证书，如果国家关于支持高新技术企业发展的税收优惠政策发生变化或者公司不再满足高新技术企业认定的条件，导致无法享受相关税收优惠政策，将会在一定程度上影响公司的经营业绩。</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 xml:space="preserve">5 </w:t>
      </w:r>
      <w:r>
        <w:rPr>
          <w:rFonts w:hint="eastAsia"/>
          <w:color w:val="auto"/>
          <w:sz w:val="18"/>
          <w:szCs w:val="24"/>
          <w:lang w:val="zh-CN"/>
        </w:rPr>
        <w:t>、新冠疫情持续的风险</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全球性的新冠疫情已持续进入第三年，各国采取的疫情防控政策尤其对国际贸易活动造成了巨大影响。疫情导致部分建设工程项目暂停或取消、货运船只和集装箱短缺且价格暴涨，导致客户产品采购和收货、付款进度减缓，增加了公司库存积压风险和资金压力。同时，目前国内疫情多点式散发，也可能对公司的供应链产品生产、物流发运等产生较大的影响。</w:t>
      </w:r>
    </w:p>
    <w:p>
      <w:pPr>
        <w:spacing w:beforeLines="0" w:afterLines="0"/>
        <w:ind w:firstLine="360" w:firstLineChars="200"/>
        <w:jc w:val="left"/>
        <w:rPr>
          <w:rFonts w:hint="default"/>
          <w:color w:val="auto"/>
          <w:sz w:val="18"/>
          <w:szCs w:val="24"/>
          <w:lang w:val="zh-CN"/>
        </w:rPr>
      </w:pPr>
      <w:r>
        <w:rPr>
          <w:rFonts w:hint="default"/>
          <w:color w:val="auto"/>
          <w:sz w:val="18"/>
          <w:szCs w:val="24"/>
          <w:lang w:val="zh-CN"/>
        </w:rPr>
        <w:t>6</w:t>
      </w:r>
      <w:r>
        <w:rPr>
          <w:rFonts w:hint="eastAsia"/>
          <w:color w:val="auto"/>
          <w:sz w:val="18"/>
          <w:szCs w:val="24"/>
          <w:lang w:val="zh-CN"/>
        </w:rPr>
        <w:t>、应对风险的措施</w:t>
      </w:r>
    </w:p>
    <w:p>
      <w:pPr>
        <w:spacing w:beforeLines="0" w:afterLines="0"/>
        <w:ind w:firstLine="360" w:firstLineChars="200"/>
        <w:jc w:val="left"/>
        <w:rPr>
          <w:rFonts w:hint="default"/>
          <w:color w:val="auto"/>
          <w:sz w:val="18"/>
          <w:szCs w:val="24"/>
          <w:lang w:val="zh-CN"/>
        </w:rPr>
      </w:pPr>
      <w:r>
        <w:rPr>
          <w:rFonts w:hint="eastAsia"/>
          <w:color w:val="auto"/>
          <w:sz w:val="18"/>
          <w:szCs w:val="24"/>
          <w:lang w:val="zh-CN"/>
        </w:rPr>
        <w:t>近年来国家在支持实体经济、民营企业发展方面出台了一系列优惠政策及激励措施，公司将进一步加快</w:t>
      </w:r>
      <w:r>
        <w:rPr>
          <w:rFonts w:hint="default"/>
          <w:color w:val="auto"/>
          <w:sz w:val="18"/>
          <w:szCs w:val="24"/>
          <w:lang w:val="zh-CN"/>
        </w:rPr>
        <w:t>“</w:t>
      </w:r>
      <w:r>
        <w:rPr>
          <w:rFonts w:hint="eastAsia"/>
          <w:color w:val="auto"/>
          <w:sz w:val="18"/>
          <w:szCs w:val="24"/>
          <w:lang w:val="zh-CN"/>
        </w:rPr>
        <w:t>传统制造型</w:t>
      </w:r>
      <w:r>
        <w:rPr>
          <w:rFonts w:hint="default"/>
          <w:color w:val="auto"/>
          <w:sz w:val="18"/>
          <w:szCs w:val="24"/>
          <w:lang w:val="zh-CN"/>
        </w:rPr>
        <w:t>”</w:t>
      </w:r>
      <w:r>
        <w:rPr>
          <w:rFonts w:hint="eastAsia"/>
          <w:color w:val="auto"/>
          <w:sz w:val="18"/>
          <w:szCs w:val="24"/>
          <w:lang w:val="zh-CN"/>
        </w:rPr>
        <w:t>向</w:t>
      </w:r>
      <w:r>
        <w:rPr>
          <w:rFonts w:hint="default"/>
          <w:color w:val="auto"/>
          <w:sz w:val="18"/>
          <w:szCs w:val="24"/>
          <w:lang w:val="zh-CN"/>
        </w:rPr>
        <w:t>“</w:t>
      </w:r>
      <w:r>
        <w:rPr>
          <w:rFonts w:hint="eastAsia"/>
          <w:color w:val="auto"/>
          <w:sz w:val="18"/>
          <w:szCs w:val="24"/>
          <w:lang w:val="zh-CN"/>
        </w:rPr>
        <w:t>智能制造型</w:t>
      </w:r>
      <w:r>
        <w:rPr>
          <w:rFonts w:hint="default"/>
          <w:color w:val="auto"/>
          <w:sz w:val="18"/>
          <w:szCs w:val="24"/>
          <w:lang w:val="zh-CN"/>
        </w:rPr>
        <w:t>”</w:t>
      </w:r>
      <w:r>
        <w:rPr>
          <w:rFonts w:hint="eastAsia"/>
          <w:color w:val="auto"/>
          <w:sz w:val="18"/>
          <w:szCs w:val="24"/>
          <w:lang w:val="zh-CN"/>
        </w:rPr>
        <w:t>企业的转型；通过实施内部经营管理“精益变革”、持续改善的策略，加大研发技术投入，加快技术研发中心检测试验能力建设，提升产品的研发竞争能力；加大阀门生产专机化、智能化设备设施节能增效改造，提升产品生产的自动化水平；加大市场营销力度，开拓新兴市场；通过规范内控管理，进一步强化内控体系建设和规范运作，实施预算管理办法，合理压缩成本和控制费用支出，实现公司经营的降本增效；实施优化产品成本分析核算措施，向精细化管理要效益；落实可持续发展的人才战略，实现人才队伍的梯队建设，采取有效措施调动员工的积极性和创造性，提升整体综合竞争能力，实现公司及投资者的整体利益最大化。</w:t>
      </w:r>
    </w:p>
    <w:p>
      <w:pPr>
        <w:pStyle w:val="6"/>
        <w:spacing w:beforeLines="0" w:afterLines="0"/>
        <w:outlineLvl w:val="1"/>
        <w:rPr>
          <w:rFonts w:hint="default"/>
          <w:sz w:val="24"/>
          <w:szCs w:val="24"/>
        </w:rPr>
      </w:pPr>
      <w:r>
        <w:rPr>
          <w:rFonts w:hint="eastAsia"/>
          <w:sz w:val="24"/>
          <w:szCs w:val="24"/>
        </w:rPr>
        <w:t>十二、报告期内接待调研、沟通、采访等活动</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3"/>
        <w:gridCol w:w="1295"/>
        <w:gridCol w:w="1295"/>
        <w:gridCol w:w="1295"/>
        <w:gridCol w:w="1295"/>
        <w:gridCol w:w="1295"/>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接待时间</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接待地点</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接待方式</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接待对象类型</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接待对象</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谈论的主要内容及提供的资料</w:t>
            </w:r>
          </w:p>
        </w:tc>
        <w:tc>
          <w:tcPr>
            <w:tcW w:w="18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调研的基本情况索引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19</w:t>
            </w:r>
            <w:r>
              <w:rPr>
                <w:rFonts w:hint="eastAsia"/>
                <w:sz w:val="18"/>
                <w:szCs w:val="24"/>
              </w:rPr>
              <w:t>日</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实地调研</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半岛都市报：李兵、孔敏</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2021</w:t>
            </w:r>
            <w:r>
              <w:rPr>
                <w:rFonts w:hint="eastAsia"/>
                <w:sz w:val="18"/>
                <w:szCs w:val="24"/>
              </w:rPr>
              <w:t>年</w:t>
            </w:r>
            <w:r>
              <w:rPr>
                <w:rFonts w:hint="default"/>
                <w:sz w:val="18"/>
                <w:szCs w:val="24"/>
              </w:rPr>
              <w:t>3</w:t>
            </w:r>
            <w:r>
              <w:rPr>
                <w:rFonts w:hint="eastAsia"/>
                <w:sz w:val="18"/>
                <w:szCs w:val="24"/>
              </w:rPr>
              <w:t>月</w:t>
            </w:r>
            <w:r>
              <w:rPr>
                <w:rFonts w:hint="default"/>
                <w:sz w:val="18"/>
                <w:szCs w:val="24"/>
              </w:rPr>
              <w:t>19</w:t>
            </w:r>
            <w:r>
              <w:rPr>
                <w:rFonts w:hint="eastAsia"/>
                <w:sz w:val="18"/>
                <w:szCs w:val="24"/>
              </w:rPr>
              <w:t>日投资者关系活动记录表</w:t>
            </w:r>
          </w:p>
        </w:tc>
        <w:tc>
          <w:tcPr>
            <w:tcW w:w="18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2021</w:t>
            </w:r>
            <w:r>
              <w:rPr>
                <w:rFonts w:hint="eastAsia"/>
                <w:sz w:val="18"/>
                <w:szCs w:val="24"/>
              </w:rPr>
              <w:t>年</w:t>
            </w:r>
            <w:r>
              <w:rPr>
                <w:rFonts w:hint="default"/>
                <w:sz w:val="18"/>
                <w:szCs w:val="24"/>
              </w:rPr>
              <w:t>3</w:t>
            </w:r>
            <w:r>
              <w:rPr>
                <w:rFonts w:hint="eastAsia"/>
                <w:sz w:val="18"/>
                <w:szCs w:val="24"/>
              </w:rPr>
              <w:t>月</w:t>
            </w:r>
            <w:r>
              <w:rPr>
                <w:rFonts w:hint="default"/>
                <w:sz w:val="18"/>
                <w:szCs w:val="24"/>
              </w:rPr>
              <w:t>19</w:t>
            </w:r>
            <w:r>
              <w:rPr>
                <w:rFonts w:hint="eastAsia"/>
                <w:sz w:val="18"/>
                <w:szCs w:val="24"/>
              </w:rPr>
              <w:t>日投资者关系活动记录表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05</w:t>
            </w:r>
            <w:r>
              <w:rPr>
                <w:rFonts w:hint="eastAsia"/>
                <w:sz w:val="18"/>
                <w:szCs w:val="24"/>
              </w:rPr>
              <w:t>月</w:t>
            </w:r>
            <w:r>
              <w:rPr>
                <w:rFonts w:hint="default"/>
                <w:sz w:val="18"/>
                <w:szCs w:val="24"/>
              </w:rPr>
              <w:t>11</w:t>
            </w:r>
            <w:r>
              <w:rPr>
                <w:rFonts w:hint="eastAsia"/>
                <w:sz w:val="18"/>
                <w:szCs w:val="24"/>
              </w:rPr>
              <w:t>日</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全景网“投资者关系互动平台”（</w:t>
            </w:r>
            <w:r>
              <w:rPr>
                <w:rFonts w:hint="default"/>
                <w:sz w:val="18"/>
                <w:szCs w:val="24"/>
              </w:rPr>
              <w:t>http://ir.p5w.net</w:t>
            </w:r>
            <w:r>
              <w:rPr>
                <w:rFonts w:hint="eastAsia"/>
                <w:sz w:val="18"/>
                <w:szCs w:val="24"/>
              </w:rPr>
              <w:t>）</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参与公司</w:t>
            </w:r>
            <w:r>
              <w:rPr>
                <w:rFonts w:hint="default"/>
                <w:sz w:val="18"/>
                <w:szCs w:val="24"/>
              </w:rPr>
              <w:t>2020</w:t>
            </w:r>
            <w:r>
              <w:rPr>
                <w:rFonts w:hint="eastAsia"/>
                <w:sz w:val="18"/>
                <w:szCs w:val="24"/>
              </w:rPr>
              <w:t>年年度业绩说明会的投资者</w:t>
            </w:r>
          </w:p>
        </w:tc>
        <w:tc>
          <w:tcPr>
            <w:tcW w:w="12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11</w:t>
            </w:r>
            <w:r>
              <w:rPr>
                <w:rFonts w:hint="eastAsia"/>
                <w:sz w:val="18"/>
                <w:szCs w:val="24"/>
              </w:rPr>
              <w:t>日投资者关系活动记录表</w:t>
            </w:r>
          </w:p>
        </w:tc>
        <w:tc>
          <w:tcPr>
            <w:tcW w:w="18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11</w:t>
            </w:r>
            <w:r>
              <w:rPr>
                <w:rFonts w:hint="eastAsia"/>
                <w:sz w:val="18"/>
                <w:szCs w:val="24"/>
              </w:rPr>
              <w:t>日投资者关系活动记录表</w:t>
            </w:r>
          </w:p>
        </w:tc>
      </w:tr>
    </w:tbl>
    <w:p>
      <w:pPr>
        <w:spacing w:beforeLines="0" w:afterLines="0"/>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3" w:name="_Toc300000087"/>
      <w:r>
        <w:rPr>
          <w:rFonts w:hint="eastAsia"/>
          <w:sz w:val="32"/>
          <w:szCs w:val="24"/>
        </w:rPr>
        <w:t>第四节</w:t>
      </w:r>
      <w:r>
        <w:rPr>
          <w:rFonts w:hint="default"/>
          <w:sz w:val="32"/>
          <w:szCs w:val="24"/>
        </w:rPr>
        <w:t xml:space="preserve"> </w:t>
      </w:r>
      <w:r>
        <w:rPr>
          <w:rFonts w:hint="eastAsia"/>
          <w:sz w:val="32"/>
          <w:szCs w:val="24"/>
        </w:rPr>
        <w:t>公司治理</w:t>
      </w:r>
      <w:bookmarkEnd w:id="3"/>
    </w:p>
    <w:p>
      <w:pPr>
        <w:pStyle w:val="6"/>
        <w:spacing w:beforeLines="0" w:afterLines="0"/>
        <w:outlineLvl w:val="1"/>
        <w:rPr>
          <w:rFonts w:hint="default"/>
          <w:sz w:val="24"/>
          <w:szCs w:val="24"/>
        </w:rPr>
      </w:pPr>
      <w:r>
        <w:rPr>
          <w:rFonts w:hint="eastAsia"/>
          <w:sz w:val="24"/>
          <w:szCs w:val="24"/>
        </w:rPr>
        <w:t>一、公司治理的基本状况</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default" w:eastAsia="Times New Roman"/>
          <w:color w:val="auto"/>
          <w:sz w:val="18"/>
          <w:szCs w:val="24"/>
          <w:lang w:val="zh-CN"/>
        </w:rPr>
        <w:t>202</w:t>
      </w:r>
      <w:r>
        <w:rPr>
          <w:rFonts w:hint="default"/>
          <w:color w:val="auto"/>
          <w:sz w:val="18"/>
          <w:szCs w:val="24"/>
          <w:lang w:val="zh-CN"/>
        </w:rPr>
        <w:t>1</w:t>
      </w:r>
      <w:r>
        <w:rPr>
          <w:rFonts w:hint="eastAsia" w:ascii="宋体"/>
          <w:color w:val="auto"/>
          <w:sz w:val="18"/>
          <w:szCs w:val="24"/>
          <w:lang w:val="zh-CN"/>
        </w:rPr>
        <w:t>年度，受新冠疫情在全球范围内爆发后持续蔓延产生的连锁反应，以及国内宏观经济形势变化、环保政策的影响，叠加中美贸易争端压力升级、国际海运货船和集装箱供求短缺及价格大幅上涨，对世界经济和供应链造成持续的严重影响，公司出口经营面临多重压力和挑战。作为传统制造型出口企业，公司始终坚持加大市场开拓力度，深化产品结构调整，提升生产交付能力。同时，紧紧围绕年度经营计划目标，加强内部精益化管理，严格控制成本费用，落实</w:t>
      </w:r>
      <w:r>
        <w:rPr>
          <w:rFonts w:hint="default" w:eastAsia="Times New Roman"/>
          <w:color w:val="auto"/>
          <w:sz w:val="18"/>
          <w:szCs w:val="24"/>
          <w:lang w:val="zh-CN"/>
        </w:rPr>
        <w:t>“</w:t>
      </w:r>
      <w:r>
        <w:rPr>
          <w:rFonts w:hint="eastAsia" w:ascii="宋体"/>
          <w:color w:val="auto"/>
          <w:sz w:val="18"/>
          <w:szCs w:val="24"/>
          <w:lang w:val="zh-CN"/>
        </w:rPr>
        <w:t>开拓市场、满足需求为导向；研发产品、加速认证为基础；调整产品、优化结构为保障；提升质量、创建品牌为战略；精益管理、提高效益”为目标的经营方针，克服重重困难，使公司主营业务保持了稳定发展的态势。</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eastAsia" w:ascii="宋体"/>
          <w:color w:val="auto"/>
          <w:sz w:val="18"/>
          <w:szCs w:val="24"/>
          <w:lang w:val="zh-CN"/>
        </w:rPr>
        <w:t>经和信会计师事务所</w:t>
      </w:r>
      <w:r>
        <w:rPr>
          <w:rFonts w:hint="default" w:eastAsia="Times New Roman"/>
          <w:color w:val="auto"/>
          <w:sz w:val="18"/>
          <w:szCs w:val="24"/>
          <w:lang w:val="zh-CN"/>
        </w:rPr>
        <w:t>(</w:t>
      </w:r>
      <w:r>
        <w:rPr>
          <w:rFonts w:hint="eastAsia" w:ascii="宋体"/>
          <w:color w:val="auto"/>
          <w:sz w:val="18"/>
          <w:szCs w:val="24"/>
          <w:lang w:val="zh-CN"/>
        </w:rPr>
        <w:t>特殊普通合伙</w:t>
      </w:r>
      <w:r>
        <w:rPr>
          <w:rFonts w:hint="default" w:eastAsia="Times New Roman"/>
          <w:color w:val="auto"/>
          <w:sz w:val="18"/>
          <w:szCs w:val="24"/>
          <w:lang w:val="zh-CN"/>
        </w:rPr>
        <w:t>)</w:t>
      </w:r>
      <w:r>
        <w:rPr>
          <w:rFonts w:hint="eastAsia" w:ascii="宋体"/>
          <w:color w:val="auto"/>
          <w:sz w:val="18"/>
          <w:szCs w:val="24"/>
          <w:lang w:val="zh-CN"/>
        </w:rPr>
        <w:t>审计，公司</w:t>
      </w:r>
      <w:r>
        <w:rPr>
          <w:rFonts w:hint="default" w:eastAsia="Times New Roman"/>
          <w:color w:val="auto"/>
          <w:sz w:val="18"/>
          <w:szCs w:val="24"/>
          <w:lang w:val="zh-CN"/>
        </w:rPr>
        <w:t xml:space="preserve"> 202</w:t>
      </w:r>
      <w:r>
        <w:rPr>
          <w:rFonts w:hint="default"/>
          <w:color w:val="auto"/>
          <w:sz w:val="18"/>
          <w:szCs w:val="24"/>
          <w:lang w:val="zh-CN"/>
        </w:rPr>
        <w:t>1</w:t>
      </w:r>
      <w:r>
        <w:rPr>
          <w:rFonts w:hint="eastAsia" w:ascii="宋体"/>
          <w:color w:val="auto"/>
          <w:sz w:val="18"/>
          <w:szCs w:val="24"/>
          <w:lang w:val="zh-CN"/>
        </w:rPr>
        <w:t>年度实现营业收入</w:t>
      </w:r>
      <w:r>
        <w:rPr>
          <w:rFonts w:hint="default"/>
          <w:color w:val="auto"/>
          <w:sz w:val="18"/>
          <w:szCs w:val="24"/>
        </w:rPr>
        <w:t>415,162,743.70</w:t>
      </w:r>
      <w:r>
        <w:rPr>
          <w:rFonts w:hint="default"/>
          <w:color w:val="auto"/>
          <w:sz w:val="18"/>
          <w:szCs w:val="24"/>
          <w:lang w:val="zh-CN"/>
        </w:rPr>
        <w:t xml:space="preserve"> </w:t>
      </w:r>
      <w:r>
        <w:rPr>
          <w:rFonts w:hint="eastAsia" w:ascii="宋体"/>
          <w:color w:val="auto"/>
          <w:sz w:val="18"/>
          <w:szCs w:val="24"/>
          <w:lang w:val="zh-CN"/>
        </w:rPr>
        <w:t>元，较上年增长20.48</w:t>
      </w:r>
      <w:r>
        <w:rPr>
          <w:rFonts w:hint="default" w:eastAsia="Times New Roman"/>
          <w:color w:val="auto"/>
          <w:sz w:val="18"/>
          <w:szCs w:val="24"/>
          <w:lang w:val="zh-CN"/>
        </w:rPr>
        <w:t>%</w:t>
      </w:r>
      <w:r>
        <w:rPr>
          <w:rFonts w:hint="eastAsia" w:ascii="宋体"/>
          <w:color w:val="auto"/>
          <w:sz w:val="18"/>
          <w:szCs w:val="24"/>
          <w:lang w:val="zh-CN"/>
        </w:rPr>
        <w:t>，实现归属于上市公司股东的净利润</w:t>
      </w:r>
      <w:r>
        <w:rPr>
          <w:rFonts w:hint="default"/>
          <w:color w:val="auto"/>
          <w:sz w:val="18"/>
          <w:szCs w:val="24"/>
        </w:rPr>
        <w:t>60,993,488.79</w:t>
      </w:r>
      <w:r>
        <w:rPr>
          <w:rFonts w:hint="eastAsia" w:ascii="宋体"/>
          <w:color w:val="auto"/>
          <w:sz w:val="18"/>
          <w:szCs w:val="24"/>
          <w:lang w:val="zh-CN"/>
        </w:rPr>
        <w:t>元，比上年增加</w:t>
      </w:r>
      <w:r>
        <w:rPr>
          <w:rFonts w:hint="default"/>
          <w:color w:val="auto"/>
          <w:sz w:val="18"/>
          <w:szCs w:val="24"/>
          <w:lang w:val="zh-CN"/>
        </w:rPr>
        <w:t>5</w:t>
      </w:r>
      <w:r>
        <w:rPr>
          <w:rFonts w:hint="default" w:eastAsia="Times New Roman"/>
          <w:color w:val="auto"/>
          <w:sz w:val="18"/>
          <w:szCs w:val="24"/>
          <w:lang w:val="zh-CN"/>
        </w:rPr>
        <w:t>.</w:t>
      </w:r>
      <w:r>
        <w:rPr>
          <w:rFonts w:hint="default"/>
          <w:color w:val="auto"/>
          <w:sz w:val="18"/>
          <w:szCs w:val="24"/>
          <w:lang w:val="zh-CN"/>
        </w:rPr>
        <w:t>22</w:t>
      </w:r>
      <w:r>
        <w:rPr>
          <w:rFonts w:hint="default" w:eastAsia="Times New Roman"/>
          <w:color w:val="auto"/>
          <w:sz w:val="18"/>
          <w:szCs w:val="24"/>
          <w:lang w:val="zh-CN"/>
        </w:rPr>
        <w:t>%</w:t>
      </w:r>
      <w:r>
        <w:rPr>
          <w:rFonts w:hint="eastAsia" w:ascii="宋体"/>
          <w:color w:val="auto"/>
          <w:sz w:val="18"/>
          <w:szCs w:val="24"/>
          <w:lang w:val="zh-CN"/>
        </w:rPr>
        <w:t>，实现主要经营目标销售收入、净利润、回款率等基本达到预期目标。截至</w:t>
      </w:r>
      <w:r>
        <w:rPr>
          <w:rFonts w:hint="default" w:eastAsia="Times New Roman"/>
          <w:color w:val="auto"/>
          <w:sz w:val="18"/>
          <w:szCs w:val="24"/>
          <w:lang w:val="zh-CN"/>
        </w:rPr>
        <w:t>20</w:t>
      </w:r>
      <w:r>
        <w:rPr>
          <w:rFonts w:hint="default"/>
          <w:color w:val="auto"/>
          <w:sz w:val="18"/>
          <w:szCs w:val="24"/>
          <w:lang w:val="zh-CN"/>
        </w:rPr>
        <w:t>21</w:t>
      </w:r>
      <w:r>
        <w:rPr>
          <w:rFonts w:hint="eastAsia" w:ascii="宋体"/>
          <w:color w:val="auto"/>
          <w:sz w:val="18"/>
          <w:szCs w:val="24"/>
          <w:lang w:val="zh-CN"/>
        </w:rPr>
        <w:t>年</w:t>
      </w:r>
      <w:r>
        <w:rPr>
          <w:rFonts w:hint="default" w:eastAsia="Times New Roman"/>
          <w:color w:val="auto"/>
          <w:sz w:val="18"/>
          <w:szCs w:val="24"/>
          <w:lang w:val="zh-CN"/>
        </w:rPr>
        <w:t>12</w:t>
      </w:r>
      <w:r>
        <w:rPr>
          <w:rFonts w:hint="eastAsia" w:ascii="宋体"/>
          <w:color w:val="auto"/>
          <w:sz w:val="18"/>
          <w:szCs w:val="24"/>
          <w:lang w:val="zh-CN"/>
        </w:rPr>
        <w:t>月</w:t>
      </w:r>
      <w:r>
        <w:rPr>
          <w:rFonts w:hint="default" w:eastAsia="Times New Roman"/>
          <w:color w:val="auto"/>
          <w:sz w:val="18"/>
          <w:szCs w:val="24"/>
          <w:lang w:val="zh-CN"/>
        </w:rPr>
        <w:t>31</w:t>
      </w:r>
      <w:r>
        <w:rPr>
          <w:rFonts w:hint="eastAsia" w:ascii="宋体"/>
          <w:color w:val="auto"/>
          <w:sz w:val="18"/>
          <w:szCs w:val="24"/>
          <w:lang w:val="zh-CN"/>
        </w:rPr>
        <w:t>日，公司资产总额</w:t>
      </w:r>
      <w:r>
        <w:rPr>
          <w:rFonts w:hint="default"/>
          <w:color w:val="auto"/>
          <w:sz w:val="18"/>
          <w:szCs w:val="24"/>
        </w:rPr>
        <w:t>889,880,540.36</w:t>
      </w:r>
      <w:r>
        <w:rPr>
          <w:rFonts w:hint="eastAsia" w:ascii="宋体"/>
          <w:color w:val="auto"/>
          <w:sz w:val="18"/>
          <w:szCs w:val="24"/>
          <w:lang w:val="zh-CN"/>
        </w:rPr>
        <w:t>元，归属于母公司所有者权益</w:t>
      </w:r>
      <w:r>
        <w:rPr>
          <w:rFonts w:hint="default"/>
          <w:color w:val="auto"/>
          <w:sz w:val="18"/>
          <w:szCs w:val="24"/>
        </w:rPr>
        <w:t>645,978,604.56</w:t>
      </w:r>
      <w:r>
        <w:rPr>
          <w:rFonts w:hint="eastAsia" w:ascii="宋体"/>
          <w:color w:val="auto"/>
          <w:sz w:val="18"/>
          <w:szCs w:val="24"/>
          <w:lang w:val="zh-CN"/>
        </w:rPr>
        <w:t>元。</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default" w:eastAsia="Times New Roman"/>
          <w:color w:val="auto"/>
          <w:sz w:val="18"/>
          <w:szCs w:val="24"/>
          <w:lang w:val="zh-CN"/>
        </w:rPr>
        <w:t>202</w:t>
      </w:r>
      <w:r>
        <w:rPr>
          <w:rFonts w:hint="default"/>
          <w:color w:val="auto"/>
          <w:sz w:val="18"/>
          <w:szCs w:val="24"/>
          <w:lang w:val="zh-CN"/>
        </w:rPr>
        <w:t>1</w:t>
      </w:r>
      <w:r>
        <w:rPr>
          <w:rFonts w:hint="eastAsia" w:ascii="宋体"/>
          <w:color w:val="auto"/>
          <w:sz w:val="18"/>
          <w:szCs w:val="24"/>
          <w:lang w:val="zh-CN"/>
        </w:rPr>
        <w:t>年，公司完成的重点工作如下：</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（一）加大市场拓展力度，扩大自主品牌市场</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eastAsia" w:ascii="宋体"/>
          <w:color w:val="auto"/>
          <w:sz w:val="18"/>
          <w:szCs w:val="24"/>
          <w:lang w:val="zh-CN"/>
        </w:rPr>
        <w:t>公司在全球因新冠疫情影响产品参展宣传推广及客户见面洽谈受阻的情况下，积极采取网络邮件、在线视频等方式交流业务，开拓新客户、代理商</w:t>
      </w:r>
      <w:r>
        <w:rPr>
          <w:rFonts w:hint="eastAsia"/>
          <w:color w:val="auto"/>
          <w:sz w:val="18"/>
          <w:szCs w:val="24"/>
          <w:lang w:val="zh-CN"/>
        </w:rPr>
        <w:t>近百</w:t>
      </w:r>
      <w:r>
        <w:rPr>
          <w:rFonts w:hint="eastAsia" w:ascii="宋体"/>
          <w:color w:val="auto"/>
          <w:sz w:val="18"/>
          <w:szCs w:val="24"/>
          <w:lang w:val="zh-CN"/>
        </w:rPr>
        <w:t>家。国际销售部在国内给排水阀门企业中首次同全球五百强前20名企业-沙特阿美石油公司签订了首个百万美元订单；国内</w:t>
      </w:r>
      <w:r>
        <w:rPr>
          <w:rFonts w:hint="eastAsia"/>
          <w:color w:val="auto"/>
          <w:sz w:val="18"/>
          <w:szCs w:val="18"/>
          <w:shd w:val="clear" w:color="auto" w:fill="FFFFFF"/>
        </w:rPr>
        <w:t>营销中心首次同深圳水务集团、北京首创集团签订了超亿元的大订单</w:t>
      </w:r>
      <w:r>
        <w:rPr>
          <w:rFonts w:hint="eastAsia" w:ascii="宋体" w:hAnsi="宋体" w:cs="宋体"/>
          <w:color w:val="auto"/>
          <w:sz w:val="18"/>
          <w:szCs w:val="18"/>
          <w:shd w:val="clear" w:color="auto" w:fill="FFFFFF"/>
        </w:rPr>
        <w:t>；</w:t>
      </w:r>
      <w:r>
        <w:rPr>
          <w:rFonts w:hint="eastAsia" w:ascii="宋体" w:hAnsi="宋体" w:cs="宋体"/>
          <w:color w:val="auto"/>
          <w:sz w:val="18"/>
          <w:szCs w:val="18"/>
        </w:rPr>
        <w:t>国际、国内、汽配铸件销售合同额和收入额较计划均增长20%以上。</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（二）新产品研发取得新进展，质量管理体系不断完善</w:t>
      </w:r>
    </w:p>
    <w:p>
      <w:pPr>
        <w:autoSpaceDE w:val="0"/>
        <w:autoSpaceDN w:val="0"/>
        <w:adjustRightInd w:val="0"/>
        <w:spacing w:beforeLines="0" w:afterLines="0"/>
        <w:ind w:firstLine="360"/>
        <w:jc w:val="left"/>
        <w:rPr>
          <w:rFonts w:hint="eastAsia" w:ascii="宋体"/>
          <w:color w:val="auto"/>
          <w:sz w:val="18"/>
          <w:szCs w:val="18"/>
        </w:rPr>
      </w:pPr>
      <w:r>
        <w:rPr>
          <w:rFonts w:hint="eastAsia" w:ascii="宋体"/>
          <w:color w:val="auto"/>
          <w:sz w:val="18"/>
          <w:szCs w:val="24"/>
          <w:lang w:val="zh-CN"/>
        </w:rPr>
        <w:t>新产品研发通过了</w:t>
      </w:r>
      <w:r>
        <w:rPr>
          <w:rFonts w:hint="default" w:eastAsia="Times New Roman"/>
          <w:color w:val="auto"/>
          <w:sz w:val="18"/>
          <w:szCs w:val="24"/>
          <w:lang w:val="zh-CN"/>
        </w:rPr>
        <w:t>FM/ UL/WRAS</w:t>
      </w:r>
      <w:r>
        <w:rPr>
          <w:rFonts w:hint="eastAsia" w:ascii="宋体"/>
          <w:color w:val="auto"/>
          <w:sz w:val="18"/>
          <w:szCs w:val="24"/>
          <w:lang w:val="zh-CN"/>
        </w:rPr>
        <w:t>认证15项，其中消防</w:t>
      </w:r>
      <w:r>
        <w:rPr>
          <w:rFonts w:hint="eastAsia"/>
          <w:color w:val="auto"/>
          <w:sz w:val="18"/>
          <w:szCs w:val="18"/>
        </w:rPr>
        <w:t>减压阀为国内首家通过</w:t>
      </w:r>
      <w:r>
        <w:rPr>
          <w:rFonts w:hint="default"/>
          <w:color w:val="auto"/>
          <w:sz w:val="18"/>
          <w:szCs w:val="18"/>
        </w:rPr>
        <w:t>UL</w:t>
      </w:r>
      <w:r>
        <w:rPr>
          <w:rFonts w:hint="eastAsia"/>
          <w:color w:val="auto"/>
          <w:sz w:val="18"/>
          <w:szCs w:val="18"/>
        </w:rPr>
        <w:t>认证，获得北京消防展“首家认证”荣誉；</w:t>
      </w:r>
      <w:r>
        <w:rPr>
          <w:rFonts w:hint="eastAsia" w:ascii="宋体"/>
          <w:color w:val="auto"/>
          <w:sz w:val="18"/>
          <w:szCs w:val="24"/>
          <w:lang w:val="zh-CN"/>
        </w:rPr>
        <w:t>申报了</w:t>
      </w:r>
      <w:r>
        <w:rPr>
          <w:rFonts w:hint="default"/>
          <w:color w:val="auto"/>
          <w:sz w:val="18"/>
          <w:szCs w:val="24"/>
          <w:lang w:val="zh-CN"/>
        </w:rPr>
        <w:t>10</w:t>
      </w:r>
      <w:r>
        <w:rPr>
          <w:rFonts w:hint="eastAsia" w:ascii="宋体"/>
          <w:color w:val="auto"/>
          <w:sz w:val="18"/>
          <w:szCs w:val="24"/>
          <w:lang w:val="zh-CN"/>
        </w:rPr>
        <w:t>项实用新型专利；为提升研发技术和订单交付能力，实施了产品创新管理</w:t>
      </w:r>
      <w:r>
        <w:rPr>
          <w:rFonts w:hint="default" w:eastAsia="Times New Roman"/>
          <w:color w:val="auto"/>
          <w:sz w:val="18"/>
          <w:szCs w:val="24"/>
          <w:lang w:val="zh-CN"/>
        </w:rPr>
        <w:t xml:space="preserve"> “</w:t>
      </w:r>
      <w:r>
        <w:rPr>
          <w:rFonts w:hint="eastAsia" w:ascii="宋体"/>
          <w:color w:val="auto"/>
          <w:sz w:val="18"/>
          <w:szCs w:val="24"/>
          <w:lang w:val="zh-CN"/>
        </w:rPr>
        <w:t>归一化、标准化</w:t>
      </w:r>
      <w:r>
        <w:rPr>
          <w:rFonts w:hint="default" w:eastAsia="Times New Roman"/>
          <w:color w:val="auto"/>
          <w:sz w:val="18"/>
          <w:szCs w:val="24"/>
          <w:lang w:val="zh-CN"/>
        </w:rPr>
        <w:t>”</w:t>
      </w:r>
      <w:r>
        <w:rPr>
          <w:rFonts w:hint="eastAsia" w:ascii="宋体"/>
          <w:color w:val="auto"/>
          <w:sz w:val="18"/>
          <w:szCs w:val="24"/>
          <w:lang w:val="zh-CN"/>
        </w:rPr>
        <w:t xml:space="preserve"> 提升</w:t>
      </w:r>
      <w:r>
        <w:rPr>
          <w:rFonts w:hint="eastAsia"/>
          <w:color w:val="auto"/>
          <w:sz w:val="18"/>
          <w:szCs w:val="24"/>
          <w:lang w:val="zh-CN"/>
        </w:rPr>
        <w:t>方案</w:t>
      </w:r>
      <w:r>
        <w:rPr>
          <w:rFonts w:hint="eastAsia" w:ascii="宋体"/>
          <w:color w:val="auto"/>
          <w:sz w:val="18"/>
          <w:szCs w:val="24"/>
          <w:lang w:val="zh-CN"/>
        </w:rPr>
        <w:t>。通过了</w:t>
      </w:r>
      <w:r>
        <w:rPr>
          <w:rFonts w:hint="default" w:eastAsia="Times New Roman"/>
          <w:color w:val="auto"/>
          <w:sz w:val="18"/>
          <w:szCs w:val="24"/>
          <w:lang w:val="zh-CN"/>
        </w:rPr>
        <w:t>ISO9001\ISO14001\OHSAS18001</w:t>
      </w:r>
      <w:r>
        <w:rPr>
          <w:rFonts w:hint="eastAsia" w:ascii="宋体"/>
          <w:color w:val="auto"/>
          <w:sz w:val="18"/>
          <w:szCs w:val="24"/>
          <w:lang w:val="zh-CN"/>
        </w:rPr>
        <w:t>及</w:t>
      </w:r>
      <w:r>
        <w:rPr>
          <w:rFonts w:hint="default" w:eastAsia="Times New Roman"/>
          <w:color w:val="auto"/>
          <w:sz w:val="18"/>
          <w:szCs w:val="24"/>
          <w:lang w:val="zh-CN"/>
        </w:rPr>
        <w:t>IATF16949</w:t>
      </w:r>
      <w:r>
        <w:rPr>
          <w:rFonts w:hint="eastAsia" w:ascii="宋体"/>
          <w:color w:val="auto"/>
          <w:sz w:val="18"/>
          <w:szCs w:val="24"/>
          <w:lang w:val="zh-CN"/>
        </w:rPr>
        <w:t>等管理体系的审核</w:t>
      </w:r>
      <w:r>
        <w:rPr>
          <w:rFonts w:hint="default"/>
          <w:color w:val="auto"/>
          <w:sz w:val="18"/>
          <w:szCs w:val="24"/>
          <w:lang w:val="zh-CN"/>
        </w:rPr>
        <w:t>68</w:t>
      </w:r>
      <w:r>
        <w:rPr>
          <w:rFonts w:hint="eastAsia" w:ascii="宋体"/>
          <w:color w:val="auto"/>
          <w:sz w:val="18"/>
          <w:szCs w:val="24"/>
          <w:lang w:val="zh-CN"/>
        </w:rPr>
        <w:t>次。</w:t>
      </w:r>
      <w:r>
        <w:rPr>
          <w:rFonts w:hint="eastAsia" w:ascii="宋体" w:hAnsi="宋体" w:cs="宋体"/>
          <w:color w:val="auto"/>
          <w:sz w:val="18"/>
          <w:szCs w:val="18"/>
        </w:rPr>
        <w:t>获得了</w:t>
      </w:r>
      <w:r>
        <w:rPr>
          <w:rFonts w:hint="eastAsia" w:ascii="宋体"/>
          <w:color w:val="auto"/>
          <w:sz w:val="18"/>
          <w:szCs w:val="24"/>
          <w:lang w:val="zh-CN"/>
        </w:rPr>
        <w:t>全球五百强</w:t>
      </w:r>
      <w:r>
        <w:rPr>
          <w:rFonts w:hint="eastAsia" w:ascii="宋体" w:hAnsi="宋体" w:cs="宋体"/>
          <w:color w:val="auto"/>
          <w:sz w:val="18"/>
          <w:szCs w:val="18"/>
        </w:rPr>
        <w:t>前20名</w:t>
      </w:r>
      <w:r>
        <w:rPr>
          <w:rFonts w:hint="eastAsia" w:ascii="宋体"/>
          <w:color w:val="auto"/>
          <w:sz w:val="18"/>
          <w:szCs w:val="24"/>
          <w:lang w:val="zh-CN"/>
        </w:rPr>
        <w:t>企业-</w:t>
      </w:r>
      <w:r>
        <w:rPr>
          <w:rFonts w:hint="eastAsia" w:ascii="宋体" w:hAnsi="宋体" w:cs="宋体"/>
          <w:color w:val="auto"/>
          <w:sz w:val="18"/>
          <w:szCs w:val="18"/>
        </w:rPr>
        <w:t>沙特阿美石油公司在国内阀门业首家供应商资质；“卓信检测公司”取得了CMA资质证书和CNAS审核认证证书。</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（三）优化组织结构，引进管理、研发技术人才</w:t>
      </w:r>
    </w:p>
    <w:p>
      <w:pPr>
        <w:autoSpaceDE w:val="0"/>
        <w:autoSpaceDN w:val="0"/>
        <w:adjustRightInd w:val="0"/>
        <w:spacing w:beforeLines="0" w:afterLines="0"/>
        <w:ind w:firstLine="360"/>
        <w:jc w:val="left"/>
        <w:rPr>
          <w:rFonts w:hint="default" w:eastAsia="Times New Roman"/>
          <w:color w:val="auto"/>
          <w:sz w:val="18"/>
          <w:szCs w:val="18"/>
          <w:lang w:val="zh-CN"/>
        </w:rPr>
      </w:pPr>
      <w:r>
        <w:rPr>
          <w:rFonts w:hint="eastAsia" w:ascii="宋体"/>
          <w:color w:val="auto"/>
          <w:sz w:val="18"/>
          <w:szCs w:val="24"/>
          <w:lang w:val="zh-CN"/>
        </w:rPr>
        <w:t>公司结合经营管理需要，实行了公司与子公司主要职能部门业务工作协调、指导、监督一体化的运行机制，调整优化了运营管理、采购、仓储部门的管理结构，引进管理、研发技术人才</w:t>
      </w:r>
      <w:r>
        <w:rPr>
          <w:rFonts w:hint="default"/>
          <w:color w:val="auto"/>
          <w:sz w:val="18"/>
          <w:szCs w:val="24"/>
          <w:lang w:val="zh-CN"/>
        </w:rPr>
        <w:t>18</w:t>
      </w:r>
      <w:r>
        <w:rPr>
          <w:rFonts w:hint="eastAsia" w:ascii="宋体"/>
          <w:color w:val="auto"/>
          <w:sz w:val="18"/>
          <w:szCs w:val="24"/>
          <w:lang w:val="zh-CN"/>
        </w:rPr>
        <w:t>名，提拔了</w:t>
      </w:r>
      <w:r>
        <w:rPr>
          <w:rFonts w:hint="default"/>
          <w:color w:val="auto"/>
          <w:sz w:val="18"/>
          <w:szCs w:val="24"/>
          <w:lang w:val="zh-CN"/>
        </w:rPr>
        <w:t>10</w:t>
      </w:r>
      <w:r>
        <w:rPr>
          <w:rFonts w:hint="eastAsia" w:ascii="宋体"/>
          <w:color w:val="auto"/>
          <w:sz w:val="18"/>
          <w:szCs w:val="24"/>
          <w:lang w:val="zh-CN"/>
        </w:rPr>
        <w:t>名具有组织管理能力的优秀员工，</w:t>
      </w:r>
      <w:r>
        <w:rPr>
          <w:rFonts w:hint="eastAsia" w:ascii="宋体" w:hAnsi="宋体" w:cs="宋体"/>
          <w:color w:val="auto"/>
          <w:sz w:val="18"/>
          <w:szCs w:val="18"/>
          <w:shd w:val="clear" w:color="auto" w:fill="FFFFFF"/>
        </w:rPr>
        <w:t>为</w:t>
      </w:r>
      <w:r>
        <w:rPr>
          <w:rFonts w:hint="eastAsia" w:ascii="宋体" w:hAnsi="宋体" w:cs="宋体"/>
          <w:color w:val="auto"/>
          <w:sz w:val="18"/>
          <w:szCs w:val="18"/>
        </w:rPr>
        <w:t>6名科技人员办理了技术职务</w:t>
      </w:r>
      <w:r>
        <w:rPr>
          <w:rFonts w:hint="eastAsia"/>
          <w:color w:val="auto"/>
          <w:sz w:val="18"/>
          <w:szCs w:val="18"/>
        </w:rPr>
        <w:t>；</w:t>
      </w:r>
      <w:r>
        <w:rPr>
          <w:rFonts w:hint="eastAsia" w:ascii="宋体" w:hAnsi="宋体" w:cs="宋体"/>
          <w:color w:val="auto"/>
          <w:sz w:val="18"/>
          <w:szCs w:val="18"/>
        </w:rPr>
        <w:t>组织员工技能等级考证27人。</w:t>
      </w:r>
      <w:r>
        <w:rPr>
          <w:rFonts w:hint="eastAsia" w:ascii="宋体"/>
          <w:color w:val="auto"/>
          <w:sz w:val="18"/>
          <w:szCs w:val="24"/>
          <w:lang w:val="zh-CN"/>
        </w:rPr>
        <w:t>对不称职的中层管理人员予以降职、解聘；对年度做出突出贡献的优秀员工、优秀班组、优秀管理团体、重大项目工作组予以了表彰奖励。</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（四）不断规范经营运作，落实员工激励措施</w:t>
      </w:r>
    </w:p>
    <w:p>
      <w:pPr>
        <w:pStyle w:val="2"/>
        <w:spacing w:beforeLines="0" w:afterLines="0"/>
        <w:ind w:firstLine="360" w:firstLineChars="200"/>
        <w:rPr>
          <w:rFonts w:hint="default"/>
          <w:color w:val="auto"/>
          <w:sz w:val="18"/>
          <w:szCs w:val="18"/>
        </w:rPr>
      </w:pPr>
      <w:r>
        <w:rPr>
          <w:rFonts w:hint="eastAsia" w:ascii="宋体"/>
          <w:color w:val="auto"/>
          <w:sz w:val="18"/>
          <w:szCs w:val="24"/>
          <w:lang w:val="zh-CN"/>
        </w:rPr>
        <w:t>公司董事会、监事会严格履行中国证监会、深交所对上市公司的管理要求，规范</w:t>
      </w:r>
      <w:r>
        <w:rPr>
          <w:rFonts w:hint="default" w:eastAsia="Times New Roman"/>
          <w:color w:val="auto"/>
          <w:sz w:val="18"/>
          <w:szCs w:val="24"/>
          <w:lang w:val="zh-CN"/>
        </w:rPr>
        <w:t>“</w:t>
      </w:r>
      <w:r>
        <w:rPr>
          <w:rFonts w:hint="eastAsia" w:ascii="宋体"/>
          <w:color w:val="auto"/>
          <w:sz w:val="18"/>
          <w:szCs w:val="24"/>
          <w:lang w:val="zh-CN"/>
        </w:rPr>
        <w:t>三会</w:t>
      </w:r>
      <w:r>
        <w:rPr>
          <w:rFonts w:hint="default" w:eastAsia="Times New Roman"/>
          <w:color w:val="auto"/>
          <w:sz w:val="18"/>
          <w:szCs w:val="24"/>
          <w:lang w:val="zh-CN"/>
        </w:rPr>
        <w:t>”</w:t>
      </w:r>
      <w:r>
        <w:rPr>
          <w:rFonts w:hint="eastAsia" w:ascii="宋体"/>
          <w:color w:val="auto"/>
          <w:sz w:val="18"/>
          <w:szCs w:val="24"/>
          <w:lang w:val="zh-CN"/>
        </w:rPr>
        <w:t>和内控管理要求，召开各类会议</w:t>
      </w:r>
      <w:r>
        <w:rPr>
          <w:rFonts w:hint="default" w:eastAsia="Times New Roman"/>
          <w:color w:val="auto"/>
          <w:sz w:val="18"/>
          <w:szCs w:val="24"/>
          <w:lang w:val="zh-CN"/>
        </w:rPr>
        <w:t>2</w:t>
      </w:r>
      <w:r>
        <w:rPr>
          <w:rFonts w:hint="default"/>
          <w:color w:val="auto"/>
          <w:sz w:val="18"/>
          <w:szCs w:val="24"/>
          <w:lang w:val="zh-CN"/>
        </w:rPr>
        <w:t>7</w:t>
      </w:r>
      <w:r>
        <w:rPr>
          <w:rFonts w:hint="eastAsia" w:ascii="宋体"/>
          <w:color w:val="auto"/>
          <w:sz w:val="18"/>
          <w:szCs w:val="24"/>
          <w:lang w:val="zh-CN"/>
        </w:rPr>
        <w:t>次，信息公告披露</w:t>
      </w:r>
      <w:r>
        <w:rPr>
          <w:rFonts w:hint="default" w:eastAsia="Times New Roman"/>
          <w:color w:val="auto"/>
          <w:sz w:val="18"/>
          <w:szCs w:val="24"/>
          <w:lang w:val="zh-CN"/>
        </w:rPr>
        <w:t>1</w:t>
      </w:r>
      <w:r>
        <w:rPr>
          <w:rFonts w:hint="default"/>
          <w:color w:val="auto"/>
          <w:sz w:val="18"/>
          <w:szCs w:val="24"/>
          <w:lang w:val="zh-CN"/>
        </w:rPr>
        <w:t>14</w:t>
      </w:r>
      <w:r>
        <w:rPr>
          <w:rFonts w:hint="eastAsia" w:ascii="宋体"/>
          <w:color w:val="auto"/>
          <w:sz w:val="18"/>
          <w:szCs w:val="24"/>
          <w:lang w:val="zh-CN"/>
        </w:rPr>
        <w:t>次，接待投资者网络、邮件、电话来访及回复咨询交流</w:t>
      </w:r>
      <w:r>
        <w:rPr>
          <w:rFonts w:hint="default" w:eastAsia="Times New Roman"/>
          <w:color w:val="auto"/>
          <w:sz w:val="18"/>
          <w:szCs w:val="24"/>
          <w:lang w:val="zh-CN"/>
        </w:rPr>
        <w:t>100</w:t>
      </w:r>
      <w:r>
        <w:rPr>
          <w:rFonts w:hint="eastAsia" w:ascii="宋体"/>
          <w:color w:val="auto"/>
          <w:sz w:val="18"/>
          <w:szCs w:val="24"/>
          <w:lang w:val="zh-CN"/>
        </w:rPr>
        <w:t>余次。向股东、投资者</w:t>
      </w:r>
      <w:r>
        <w:rPr>
          <w:rFonts w:hint="eastAsia" w:ascii="宋体" w:hAnsi="宋体" w:cs="宋体"/>
          <w:color w:val="auto"/>
          <w:sz w:val="18"/>
          <w:szCs w:val="18"/>
        </w:rPr>
        <w:t>实施了2020年利润分红5250.60万元；为33名员工办理了2018年限制性股票第三期解禁交易；投资</w:t>
      </w:r>
      <w:r>
        <w:rPr>
          <w:rFonts w:hint="default"/>
          <w:color w:val="auto"/>
          <w:sz w:val="18"/>
          <w:szCs w:val="18"/>
        </w:rPr>
        <w:t>3000</w:t>
      </w:r>
      <w:r>
        <w:rPr>
          <w:rFonts w:hint="eastAsia"/>
          <w:color w:val="auto"/>
          <w:sz w:val="18"/>
          <w:szCs w:val="18"/>
        </w:rPr>
        <w:t>万元回购公司股份，为</w:t>
      </w:r>
      <w:r>
        <w:rPr>
          <w:rFonts w:hint="default"/>
          <w:color w:val="auto"/>
          <w:sz w:val="18"/>
          <w:szCs w:val="18"/>
        </w:rPr>
        <w:t>80</w:t>
      </w:r>
      <w:r>
        <w:rPr>
          <w:rFonts w:hint="eastAsia"/>
          <w:color w:val="auto"/>
          <w:sz w:val="18"/>
          <w:szCs w:val="18"/>
        </w:rPr>
        <w:t>名员工授予了</w:t>
      </w:r>
      <w:r>
        <w:rPr>
          <w:rFonts w:hint="default"/>
          <w:color w:val="auto"/>
          <w:sz w:val="18"/>
          <w:szCs w:val="18"/>
        </w:rPr>
        <w:t>2021</w:t>
      </w:r>
      <w:r>
        <w:rPr>
          <w:rFonts w:hint="eastAsia"/>
          <w:color w:val="auto"/>
          <w:sz w:val="18"/>
          <w:szCs w:val="18"/>
        </w:rPr>
        <w:t>年第二次股权激励。</w:t>
      </w:r>
      <w:r>
        <w:rPr>
          <w:rFonts w:hint="eastAsia" w:ascii="宋体"/>
          <w:color w:val="auto"/>
          <w:sz w:val="18"/>
          <w:szCs w:val="24"/>
          <w:lang w:val="zh-CN"/>
        </w:rPr>
        <w:t>调研交流了国内外有合作意向洽谈并购产品项目多次，寻求资本市场运作机会。</w:t>
      </w:r>
    </w:p>
    <w:p>
      <w:pPr>
        <w:autoSpaceDE w:val="0"/>
        <w:autoSpaceDN w:val="0"/>
        <w:adjustRightInd w:val="0"/>
        <w:spacing w:beforeLines="0" w:afterLines="0"/>
        <w:ind w:firstLine="360"/>
        <w:jc w:val="left"/>
        <w:rPr>
          <w:rFonts w:hint="eastAsia" w:ascii="宋体"/>
          <w:color w:val="auto"/>
          <w:sz w:val="18"/>
          <w:szCs w:val="24"/>
          <w:lang w:val="zh-CN"/>
        </w:rPr>
      </w:pPr>
      <w:r>
        <w:rPr>
          <w:rFonts w:hint="eastAsia" w:ascii="宋体"/>
          <w:color w:val="auto"/>
          <w:sz w:val="18"/>
          <w:szCs w:val="24"/>
          <w:lang w:val="zh-CN"/>
        </w:rPr>
        <w:t>（五）加快更新换代智能化装备，提高生产保障能力</w:t>
      </w:r>
    </w:p>
    <w:p>
      <w:pPr>
        <w:autoSpaceDE w:val="0"/>
        <w:autoSpaceDN w:val="0"/>
        <w:adjustRightInd w:val="0"/>
        <w:spacing w:before="0" w:beforeLines="0" w:after="0" w:afterLines="0"/>
        <w:ind w:firstLine="480"/>
        <w:rPr>
          <w:rFonts w:hint="default" w:eastAsia="Times New Roman"/>
          <w:color w:val="auto"/>
          <w:sz w:val="18"/>
          <w:szCs w:val="24"/>
          <w:lang w:val="zh-CN"/>
        </w:rPr>
      </w:pPr>
      <w:r>
        <w:rPr>
          <w:rFonts w:hint="default" w:eastAsia="Times New Roman"/>
          <w:color w:val="auto"/>
          <w:sz w:val="18"/>
          <w:szCs w:val="24"/>
          <w:lang w:val="zh-CN"/>
        </w:rPr>
        <w:t>202</w:t>
      </w:r>
      <w:r>
        <w:rPr>
          <w:rFonts w:hint="default"/>
          <w:color w:val="auto"/>
          <w:sz w:val="18"/>
          <w:szCs w:val="24"/>
          <w:lang w:val="zh-CN"/>
        </w:rPr>
        <w:t>1</w:t>
      </w:r>
      <w:r>
        <w:rPr>
          <w:rFonts w:hint="eastAsia" w:ascii="宋体"/>
          <w:color w:val="auto"/>
          <w:sz w:val="18"/>
          <w:szCs w:val="24"/>
          <w:lang w:val="zh-CN"/>
        </w:rPr>
        <w:t>年公司投资一千余万元，购置了各类生产加工自动化、智能化高端设备设施</w:t>
      </w:r>
      <w:r>
        <w:rPr>
          <w:rFonts w:hint="default"/>
          <w:color w:val="auto"/>
          <w:sz w:val="18"/>
          <w:szCs w:val="24"/>
          <w:lang w:val="zh-CN"/>
        </w:rPr>
        <w:t>40</w:t>
      </w:r>
      <w:r>
        <w:rPr>
          <w:rFonts w:hint="eastAsia" w:ascii="宋体"/>
          <w:color w:val="auto"/>
          <w:sz w:val="18"/>
          <w:szCs w:val="24"/>
          <w:lang w:val="zh-CN"/>
        </w:rPr>
        <w:t>台套保障生产，更新改造了落后的生产线及老旧加工设备；莱州伟隆建设的</w:t>
      </w:r>
      <w:r>
        <w:rPr>
          <w:rFonts w:hint="eastAsia" w:ascii="宋体" w:hAnsi="宋体" w:cs="宋体"/>
          <w:color w:val="auto"/>
          <w:sz w:val="18"/>
          <w:szCs w:val="18"/>
          <w:shd w:val="clear" w:color="auto" w:fill="FFFFFF"/>
        </w:rPr>
        <w:t>智能加工车间</w:t>
      </w:r>
      <w:r>
        <w:rPr>
          <w:rFonts w:hint="eastAsia"/>
          <w:color w:val="auto"/>
          <w:sz w:val="18"/>
          <w:szCs w:val="18"/>
        </w:rPr>
        <w:t>被山东省工信厅列为</w:t>
      </w:r>
      <w:r>
        <w:rPr>
          <w:rFonts w:hint="eastAsia" w:ascii="宋体" w:hAnsi="宋体" w:cs="宋体"/>
          <w:color w:val="auto"/>
          <w:sz w:val="18"/>
          <w:szCs w:val="18"/>
          <w:shd w:val="clear" w:color="auto" w:fill="FFFFFF"/>
        </w:rPr>
        <w:t>第一批智能化技术改造财政专项项目，原有的老铸造车间与新铸造厂试模车间进行了整合生产；铸造厂</w:t>
      </w:r>
      <w:r>
        <w:rPr>
          <w:rFonts w:hint="eastAsia" w:ascii="宋体"/>
          <w:color w:val="auto"/>
          <w:sz w:val="18"/>
          <w:szCs w:val="24"/>
          <w:lang w:val="zh-CN"/>
        </w:rPr>
        <w:t>不断开拓汽配、农机铸件客户资源，提升产品质量、技术工艺水平，创造新的利润增长点和竞争力。</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eastAsia" w:ascii="宋体"/>
          <w:color w:val="auto"/>
          <w:sz w:val="18"/>
          <w:szCs w:val="24"/>
          <w:lang w:val="zh-CN"/>
        </w:rPr>
        <w:t>（六）</w:t>
      </w:r>
      <w:r>
        <w:rPr>
          <w:rFonts w:hint="default" w:eastAsia="Times New Roman"/>
          <w:color w:val="auto"/>
          <w:sz w:val="18"/>
          <w:szCs w:val="24"/>
          <w:lang w:val="zh-CN"/>
        </w:rPr>
        <w:t xml:space="preserve"> </w:t>
      </w:r>
      <w:r>
        <w:rPr>
          <w:rFonts w:hint="eastAsia" w:ascii="宋体"/>
          <w:color w:val="auto"/>
          <w:sz w:val="18"/>
          <w:szCs w:val="24"/>
          <w:lang w:val="zh-CN"/>
        </w:rPr>
        <w:t>落实安全生产责任，查处违规违纪行为</w:t>
      </w:r>
    </w:p>
    <w:p>
      <w:pPr>
        <w:autoSpaceDE w:val="0"/>
        <w:autoSpaceDN w:val="0"/>
        <w:adjustRightInd w:val="0"/>
        <w:spacing w:beforeLines="0" w:afterLines="0"/>
        <w:ind w:firstLine="360"/>
        <w:jc w:val="left"/>
        <w:rPr>
          <w:rFonts w:hint="default" w:eastAsia="Times New Roman"/>
          <w:color w:val="auto"/>
          <w:sz w:val="18"/>
          <w:szCs w:val="24"/>
          <w:lang w:val="zh-CN"/>
        </w:rPr>
      </w:pPr>
      <w:r>
        <w:rPr>
          <w:rFonts w:hint="eastAsia" w:ascii="宋体"/>
          <w:color w:val="auto"/>
          <w:sz w:val="18"/>
          <w:szCs w:val="24"/>
          <w:lang w:val="zh-CN"/>
        </w:rPr>
        <w:t>公司组织落实了安全生产、职业健康、劳动防护及环境治理的三级管理责任状和考核激励机制，每周现场安全生产及</w:t>
      </w:r>
      <w:r>
        <w:rPr>
          <w:rFonts w:hint="default" w:eastAsia="Times New Roman"/>
          <w:color w:val="auto"/>
          <w:sz w:val="18"/>
          <w:szCs w:val="24"/>
          <w:lang w:val="zh-CN"/>
        </w:rPr>
        <w:t>5S</w:t>
      </w:r>
      <w:r>
        <w:rPr>
          <w:rFonts w:hint="eastAsia" w:ascii="宋体"/>
          <w:color w:val="auto"/>
          <w:sz w:val="18"/>
          <w:szCs w:val="24"/>
          <w:lang w:val="zh-CN"/>
        </w:rPr>
        <w:t>管理监督检查，及时发现问题，排除安全隐患。审计监督调查了涉及管理、质量、安全、违规违纪等给公司造成经济损失的责任事故，通报处罚责任人员，表彰奖励工作业绩优秀的员工。</w:t>
      </w:r>
    </w:p>
    <w:p>
      <w:pPr>
        <w:pStyle w:val="2"/>
        <w:spacing w:beforeLines="0" w:afterLines="0"/>
        <w:ind w:firstLine="270" w:firstLineChars="150"/>
        <w:rPr>
          <w:rFonts w:hint="eastAsia" w:ascii="宋体"/>
          <w:color w:val="auto"/>
          <w:sz w:val="18"/>
          <w:szCs w:val="18"/>
        </w:rPr>
      </w:pPr>
      <w:r>
        <w:rPr>
          <w:rFonts w:hint="eastAsia" w:ascii="宋体" w:hAnsi="宋体" w:cs="宋体"/>
          <w:color w:val="auto"/>
          <w:sz w:val="18"/>
          <w:szCs w:val="18"/>
        </w:rPr>
        <w:t>（七）公司</w:t>
      </w:r>
      <w:r>
        <w:rPr>
          <w:rFonts w:hint="eastAsia" w:ascii="宋体" w:hAnsi="宋体" w:cs="宋体"/>
          <w:color w:val="auto"/>
          <w:sz w:val="18"/>
          <w:szCs w:val="18"/>
          <w:shd w:val="clear" w:color="auto" w:fill="FFFFFF"/>
        </w:rPr>
        <w:t>通过了高新技术企业资格复审；</w:t>
      </w:r>
      <w:r>
        <w:rPr>
          <w:rFonts w:hint="eastAsia"/>
          <w:color w:val="auto"/>
          <w:sz w:val="18"/>
          <w:szCs w:val="18"/>
        </w:rPr>
        <w:t>被青岛市列入“制造品牌”建设重点企业；获得即墨区高质量发展十佳企业荣誉和奖励；被推荐为中国阀协常务理事单位、青岛市技术改造与创新促进会副理事单位。莱州伟隆被山东省认定为</w:t>
      </w:r>
      <w:r>
        <w:rPr>
          <w:rFonts w:hint="default"/>
          <w:color w:val="auto"/>
          <w:sz w:val="18"/>
          <w:szCs w:val="18"/>
        </w:rPr>
        <w:t>2021</w:t>
      </w:r>
      <w:r>
        <w:rPr>
          <w:rFonts w:hint="eastAsia"/>
          <w:color w:val="auto"/>
          <w:sz w:val="18"/>
          <w:szCs w:val="18"/>
        </w:rPr>
        <w:t>年“专精特新”中小企业。公司</w:t>
      </w:r>
      <w:r>
        <w:rPr>
          <w:rFonts w:hint="eastAsia" w:ascii="宋体" w:hAnsi="宋体" w:cs="宋体"/>
          <w:color w:val="auto"/>
          <w:sz w:val="18"/>
          <w:szCs w:val="18"/>
          <w:shd w:val="clear" w:color="auto" w:fill="FFFFFF"/>
        </w:rPr>
        <w:t>向</w:t>
      </w:r>
      <w:r>
        <w:rPr>
          <w:rFonts w:hint="eastAsia"/>
          <w:color w:val="auto"/>
          <w:sz w:val="18"/>
          <w:szCs w:val="18"/>
        </w:rPr>
        <w:t>在青岛市举办的全国中学生运动会给予了赞助捐款；接待了青岛市民营局组织的产品创新管理交流会议和现场考察。积极改善员工福利待遇和健康体检活动，救助患病、困难员工家庭生活；</w:t>
      </w:r>
      <w:r>
        <w:rPr>
          <w:rFonts w:hint="eastAsia" w:ascii="宋体" w:hAnsi="宋体" w:cs="宋体"/>
          <w:color w:val="auto"/>
          <w:sz w:val="18"/>
          <w:szCs w:val="18"/>
        </w:rPr>
        <w:t>组织员工及家属做好新冠疫情防控和接种新冠疫苗工作，通过防护宣传、落实消毒设施，保障了正常经营和员工的健康。</w:t>
      </w:r>
    </w:p>
    <w:p>
      <w:pPr>
        <w:autoSpaceDE w:val="0"/>
        <w:autoSpaceDN w:val="0"/>
        <w:adjustRightInd w:val="0"/>
        <w:spacing w:before="0" w:beforeLines="0" w:after="0" w:afterLines="0"/>
        <w:jc w:val="left"/>
        <w:rPr>
          <w:rFonts w:hint="eastAsia" w:ascii="宋体"/>
          <w:sz w:val="18"/>
          <w:szCs w:val="24"/>
          <w:lang w:val="zh-CN"/>
        </w:rPr>
      </w:pPr>
    </w:p>
    <w:p>
      <w:pPr>
        <w:spacing w:beforeLines="0" w:afterLines="0"/>
        <w:jc w:val="left"/>
        <w:rPr>
          <w:rFonts w:hint="default"/>
          <w:sz w:val="18"/>
          <w:szCs w:val="24"/>
        </w:rPr>
      </w:pPr>
      <w:r>
        <w:rPr>
          <w:rFonts w:hint="eastAsia"/>
          <w:sz w:val="18"/>
          <w:szCs w:val="24"/>
        </w:rPr>
        <w:t>公司治理的实际状况与法律、行政法规和中国证监会发布的关于上市公司治理的规定是否存在重大差异</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公司治理的实际状况与法律、行政法规和中国证监会发布的关于上市公司治理的规定不存在重大差异。</w:t>
      </w:r>
    </w:p>
    <w:p>
      <w:pPr>
        <w:pStyle w:val="6"/>
        <w:spacing w:beforeLines="0" w:afterLines="0"/>
        <w:outlineLvl w:val="1"/>
        <w:rPr>
          <w:rFonts w:hint="default"/>
          <w:sz w:val="24"/>
          <w:szCs w:val="24"/>
        </w:rPr>
      </w:pPr>
      <w:r>
        <w:rPr>
          <w:rFonts w:hint="eastAsia"/>
          <w:sz w:val="24"/>
          <w:szCs w:val="24"/>
        </w:rPr>
        <w:t>二、公司相对于控股股东、实际控制人在保证公司资产、人员、财务、机构、业务等方面的独立情况</w:t>
      </w:r>
    </w:p>
    <w:p>
      <w:pPr>
        <w:autoSpaceDE w:val="0"/>
        <w:autoSpaceDN w:val="0"/>
        <w:adjustRightInd w:val="0"/>
        <w:spacing w:beforeLines="0" w:afterLines="0"/>
        <w:jc w:val="left"/>
        <w:rPr>
          <w:rFonts w:hint="default"/>
          <w:sz w:val="18"/>
          <w:szCs w:val="24"/>
          <w:lang w:val="zh-CN"/>
        </w:rPr>
      </w:pPr>
      <w:r>
        <w:rPr>
          <w:rFonts w:hint="default"/>
          <w:sz w:val="18"/>
          <w:szCs w:val="24"/>
          <w:lang w:val="zh-CN"/>
        </w:rPr>
        <w:t xml:space="preserve">     1</w:t>
      </w:r>
      <w:r>
        <w:rPr>
          <w:rFonts w:hint="eastAsia" w:ascii="宋体"/>
          <w:sz w:val="18"/>
          <w:szCs w:val="24"/>
          <w:lang w:val="zh-CN"/>
        </w:rPr>
        <w:t>、业务独立</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eastAsia" w:ascii="宋体"/>
          <w:sz w:val="18"/>
          <w:szCs w:val="24"/>
          <w:lang w:val="zh-CN"/>
        </w:rPr>
        <w:t>公司拥有包括采购、生产、销售、研发、质量控制在内的完整的主营业务体系，保证主营业务的完整、独立与连续，与控股股东、实际控制人及其控制的其他企业之间不存在竞争关系或业务上的依赖情况，确保了公司的独立规范运营，避免了同业竞争和关联交易。</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default"/>
          <w:sz w:val="18"/>
          <w:szCs w:val="24"/>
          <w:lang w:val="zh-CN"/>
        </w:rPr>
        <w:t>2</w:t>
      </w:r>
      <w:r>
        <w:rPr>
          <w:rFonts w:hint="eastAsia" w:ascii="宋体"/>
          <w:sz w:val="18"/>
          <w:szCs w:val="24"/>
          <w:lang w:val="zh-CN"/>
        </w:rPr>
        <w:t>、资产完整</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eastAsia" w:ascii="宋体"/>
          <w:sz w:val="18"/>
          <w:szCs w:val="24"/>
          <w:lang w:val="zh-CN"/>
        </w:rPr>
        <w:t>公司具有与生产经营有关的独立、完整的生产系统、辅助生产系统和配套设施，合法拥有与生产经营有关的土地使用权、厂房、机器设备、商标及专利等资产的所有权或使用权，公司资产与股东资产严格分开，产权界定清晰，并完全独立运营。公司主营业务和生产经营必需资产的权属完全由公司独立享有，不存在与股东单位共用的情况，具备资产的独立性和完整性。报告期内，公司不存在以自身资产、权益或信誉为股东提供担保的情形，不存在资产、资金被控股股东、实际控制人占用而损害公司利益的情况，公司对所有资产具有完全的控制权和支配权。</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default"/>
          <w:sz w:val="18"/>
          <w:szCs w:val="24"/>
          <w:lang w:val="zh-CN"/>
        </w:rPr>
        <w:t>3</w:t>
      </w:r>
      <w:r>
        <w:rPr>
          <w:rFonts w:hint="eastAsia" w:ascii="宋体"/>
          <w:sz w:val="18"/>
          <w:szCs w:val="24"/>
          <w:lang w:val="zh-CN"/>
        </w:rPr>
        <w:t>、人员独立</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eastAsia" w:ascii="宋体"/>
          <w:sz w:val="18"/>
          <w:szCs w:val="24"/>
          <w:lang w:val="zh-CN"/>
        </w:rPr>
        <w:t>公司拥有完整、独立的劳动人事及工资管理体系。公司的董事、监事及高级管理人员严格按照《公司法》、《公司章程》的相关规定选举或聘任，不存在超越公司董事会和股东大会作出人事任免决定的情况。公司的总经理、副总经理、财务负责人和董事会秘书等高级管理人员未在控股股东、实际控制人及其控制的其他企业中担任除董事、监事以外的其他职务，未在控股股东、实际控制人及其控制的其他企业领薪；公司的财务人员未在控股股东、实际控制人及其控制的其他企业中兼职。公司的劳动人事及工资管理与股东单位完全分离，公司所有员工均在上市公司及其全资子公司领薪；公司制订了严格的员工聘用、考评、晋升等劳动用工制度，并与员工依法签订了《劳动合同》，公司的人员与控股股东、实际控制人完全独立。</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default"/>
          <w:sz w:val="18"/>
          <w:szCs w:val="24"/>
          <w:lang w:val="zh-CN"/>
        </w:rPr>
        <w:t>4</w:t>
      </w:r>
      <w:r>
        <w:rPr>
          <w:rFonts w:hint="eastAsia" w:ascii="宋体"/>
          <w:sz w:val="18"/>
          <w:szCs w:val="24"/>
          <w:lang w:val="zh-CN"/>
        </w:rPr>
        <w:t>、机构独立</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eastAsia" w:ascii="宋体"/>
          <w:sz w:val="18"/>
          <w:szCs w:val="24"/>
          <w:lang w:val="zh-CN"/>
        </w:rPr>
        <w:t>公司根据经营发展的需要，建立了符合公司实际情况的独立、完整的组织结构，各职能部门根据《公司章程》和相关规章制度独立行使职权，运作正常有序。公司根据《公司法》、《公司章程》的要求建立了完善的法人治理结构和内部经营管理机构，独立行使经营管理职权；股东大会、董事会、监事会严格按照《公司章程》规范运作，并建立了《独立董事工作制度》。公司在生产经营、办公场所和管理制度等各方面均完全独立，不存在与控股股东、实际控制人及其控制的其他企业机构混同、混合经营或合署办公的情况。</w:t>
      </w:r>
      <w:r>
        <w:rPr>
          <w:rFonts w:hint="default"/>
          <w:sz w:val="18"/>
          <w:szCs w:val="24"/>
          <w:lang w:val="zh-CN"/>
        </w:rPr>
        <w:t xml:space="preserve"> </w:t>
      </w:r>
    </w:p>
    <w:p>
      <w:pPr>
        <w:autoSpaceDE w:val="0"/>
        <w:autoSpaceDN w:val="0"/>
        <w:adjustRightInd w:val="0"/>
        <w:spacing w:beforeLines="0" w:afterLines="0"/>
        <w:ind w:firstLine="360"/>
        <w:jc w:val="left"/>
        <w:rPr>
          <w:rFonts w:hint="default"/>
          <w:sz w:val="18"/>
          <w:szCs w:val="24"/>
          <w:lang w:val="zh-CN"/>
        </w:rPr>
      </w:pPr>
      <w:r>
        <w:rPr>
          <w:rFonts w:hint="default"/>
          <w:sz w:val="18"/>
          <w:szCs w:val="24"/>
          <w:lang w:val="zh-CN"/>
        </w:rPr>
        <w:t>5</w:t>
      </w:r>
      <w:r>
        <w:rPr>
          <w:rFonts w:hint="eastAsia" w:ascii="宋体"/>
          <w:sz w:val="18"/>
          <w:szCs w:val="24"/>
          <w:lang w:val="zh-CN"/>
        </w:rPr>
        <w:t>、财务独立</w:t>
      </w:r>
      <w:r>
        <w:rPr>
          <w:rFonts w:hint="default"/>
          <w:sz w:val="18"/>
          <w:szCs w:val="24"/>
          <w:lang w:val="zh-CN"/>
        </w:rPr>
        <w:t xml:space="preserve"> </w:t>
      </w:r>
    </w:p>
    <w:p>
      <w:pPr>
        <w:autoSpaceDE w:val="0"/>
        <w:autoSpaceDN w:val="0"/>
        <w:adjustRightInd w:val="0"/>
        <w:spacing w:beforeLines="0" w:afterLines="0"/>
        <w:ind w:firstLine="360"/>
        <w:rPr>
          <w:rFonts w:hint="default"/>
          <w:sz w:val="18"/>
          <w:szCs w:val="24"/>
          <w:lang w:val="zh-CN"/>
        </w:rPr>
      </w:pPr>
      <w:r>
        <w:rPr>
          <w:rFonts w:hint="eastAsia" w:ascii="宋体"/>
          <w:sz w:val="18"/>
          <w:szCs w:val="24"/>
          <w:lang w:val="zh-CN"/>
        </w:rPr>
        <w:t>公司严格按照《企业会计准则》建立了独立的财务会计核算体系，制定了相关的财务管理和审计管理制度等，设立了独立的财务部门和审计部门，配备了专门的财务人员和专职审计人员。公司拥有独立的银行账户，不存在与股东单位及其他关联方共用银行账户的现象；公司独立进行纳税申报并履行纳税义务；公司能够依据《公司章程》和相关财务制度独立做出财务决策，不存在股东或其他关联方干预公司资金使用的情况。公司已建立了独立的薪资管理制度，并在有关社会保障、工资报酬等方面独立管理。公司独立对外签订合同，不受股东及其他关联方的影响。</w:t>
      </w:r>
      <w:r>
        <w:rPr>
          <w:rFonts w:hint="default"/>
          <w:sz w:val="18"/>
          <w:szCs w:val="24"/>
          <w:lang w:val="zh-CN"/>
        </w:rPr>
        <w:t xml:space="preserve"> </w:t>
      </w:r>
    </w:p>
    <w:p>
      <w:pPr>
        <w:pStyle w:val="6"/>
        <w:spacing w:beforeLines="0" w:afterLines="0"/>
        <w:outlineLvl w:val="1"/>
        <w:rPr>
          <w:rFonts w:hint="default"/>
          <w:sz w:val="24"/>
          <w:szCs w:val="24"/>
        </w:rPr>
      </w:pPr>
      <w:r>
        <w:rPr>
          <w:rFonts w:hint="eastAsia"/>
          <w:sz w:val="24"/>
          <w:szCs w:val="24"/>
        </w:rPr>
        <w:t>三、同业竞争情况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四、报告期内召开的年度股东大会和临时股东大会的有关情况</w:t>
      </w:r>
    </w:p>
    <w:p>
      <w:pPr>
        <w:pStyle w:val="7"/>
        <w:spacing w:beforeLines="0" w:afterLines="0"/>
        <w:outlineLvl w:val="2"/>
        <w:rPr>
          <w:rFonts w:hint="default"/>
          <w:sz w:val="21"/>
          <w:szCs w:val="24"/>
        </w:rPr>
      </w:pPr>
      <w:r>
        <w:rPr>
          <w:rFonts w:hint="default"/>
          <w:sz w:val="21"/>
          <w:szCs w:val="24"/>
        </w:rPr>
        <w:t>1</w:t>
      </w:r>
      <w:r>
        <w:rPr>
          <w:rFonts w:hint="eastAsia"/>
          <w:sz w:val="21"/>
          <w:szCs w:val="24"/>
        </w:rPr>
        <w:t>、本报告期股东大会情况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会议届次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会议类型</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投资者参与比例</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召开日期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披露日期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会议决议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年第一次临时股东大会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年度股东大会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68.93%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05</w:t>
            </w:r>
            <w:r>
              <w:rPr>
                <w:rFonts w:hint="eastAsia"/>
                <w:sz w:val="18"/>
                <w:szCs w:val="24"/>
              </w:rPr>
              <w:t>月</w:t>
            </w:r>
            <w:r>
              <w:rPr>
                <w:rFonts w:hint="default"/>
                <w:sz w:val="18"/>
                <w:szCs w:val="24"/>
              </w:rPr>
              <w:t>19</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05</w:t>
            </w:r>
            <w:r>
              <w:rPr>
                <w:rFonts w:hint="eastAsia"/>
                <w:sz w:val="18"/>
                <w:szCs w:val="24"/>
              </w:rPr>
              <w:t>月</w:t>
            </w:r>
            <w:r>
              <w:rPr>
                <w:rFonts w:hint="default"/>
                <w:sz w:val="18"/>
                <w:szCs w:val="24"/>
              </w:rPr>
              <w:t>20</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年第二次临时股东大会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14</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15</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年第三次临时股东大会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临时股东大会</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66.61%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11</w:t>
            </w:r>
            <w:r>
              <w:rPr>
                <w:rFonts w:hint="eastAsia"/>
                <w:sz w:val="18"/>
                <w:szCs w:val="24"/>
              </w:rPr>
              <w:t>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2021-112</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、表决权恢复的优先股股东请求召开临时股东大会</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spacing w:beforeLines="0" w:afterLines="0"/>
        <w:jc w:val="left"/>
        <w:rPr>
          <w:rFonts w:hint="default"/>
          <w:sz w:val="18"/>
          <w:szCs w:val="24"/>
        </w:rPr>
      </w:pPr>
    </w:p>
    <w:p>
      <w:pPr>
        <w:pStyle w:val="6"/>
        <w:spacing w:beforeLines="0" w:afterLines="0"/>
        <w:outlineLvl w:val="1"/>
        <w:rPr>
          <w:rFonts w:hint="default"/>
          <w:sz w:val="24"/>
          <w:szCs w:val="24"/>
        </w:rPr>
      </w:pPr>
      <w:r>
        <w:rPr>
          <w:rFonts w:hint="eastAsia"/>
          <w:sz w:val="24"/>
          <w:szCs w:val="24"/>
        </w:rPr>
        <w:t>五、董事、监事和高级管理人员情况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、基本情况</w:t>
      </w:r>
    </w:p>
    <w:tbl>
      <w:tblPr>
        <w:tblStyle w:val="4"/>
        <w:tblW w:w="14455"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472"/>
        <w:gridCol w:w="736"/>
        <w:gridCol w:w="604"/>
        <w:gridCol w:w="709"/>
        <w:gridCol w:w="1175"/>
        <w:gridCol w:w="1180"/>
        <w:gridCol w:w="1151"/>
        <w:gridCol w:w="1079"/>
        <w:gridCol w:w="965"/>
        <w:gridCol w:w="717"/>
        <w:gridCol w:w="1071"/>
        <w:gridCol w:w="2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姓名</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职务</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任职状态</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性别</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年龄</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任期起始日期</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任期终止日期</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期初持股数（股）</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本期增持股份数量（股）</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本期减持股份数量（股）</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其他增减变动（股）</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期末持股数（股）</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股份增减变动的原因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董事、董事长</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69,389,900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31,225,455</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3,380,000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97,235,355</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董事、总经理</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年限制性股票激励计划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董事、部长助理</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4,335,000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1,950,750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6,285,750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迟娜娜</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董事、财务总监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年限制性股票激励计划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丁乃秀</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离任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2015</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渠汇成</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生产总监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07</w:t>
            </w:r>
            <w:r>
              <w:rPr>
                <w:rFonts w:hint="eastAsia"/>
                <w:sz w:val="18"/>
                <w:szCs w:val="24"/>
              </w:rPr>
              <w:t>月</w:t>
            </w:r>
            <w:r>
              <w:rPr>
                <w:rFonts w:hint="default"/>
                <w:sz w:val="18"/>
                <w:szCs w:val="24"/>
              </w:rPr>
              <w:t>06</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110,700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204,700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于春红</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03</w:t>
            </w:r>
            <w:r>
              <w:rPr>
                <w:rFonts w:hint="eastAsia"/>
                <w:sz w:val="18"/>
                <w:szCs w:val="24"/>
              </w:rPr>
              <w:t>月</w:t>
            </w:r>
            <w:r>
              <w:rPr>
                <w:rFonts w:hint="default"/>
                <w:sz w:val="18"/>
                <w:szCs w:val="24"/>
              </w:rPr>
              <w:t>16</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王凤春</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女</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02</w:t>
            </w:r>
            <w:r>
              <w:rPr>
                <w:rFonts w:hint="eastAsia"/>
                <w:sz w:val="18"/>
                <w:szCs w:val="24"/>
              </w:rPr>
              <w:t>月</w:t>
            </w:r>
            <w:r>
              <w:rPr>
                <w:rFonts w:hint="default"/>
                <w:sz w:val="18"/>
                <w:szCs w:val="24"/>
              </w:rPr>
              <w:t>28</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张涛</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04</w:t>
            </w:r>
            <w:r>
              <w:rPr>
                <w:rFonts w:hint="eastAsia"/>
                <w:sz w:val="18"/>
                <w:szCs w:val="24"/>
              </w:rPr>
              <w:t>月</w:t>
            </w:r>
            <w:r>
              <w:rPr>
                <w:rFonts w:hint="default"/>
                <w:sz w:val="18"/>
                <w:szCs w:val="24"/>
              </w:rPr>
              <w:t>25</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高峰</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年限制性股票激励计划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刘克平</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副总经理、董事会秘书</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86,680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106,680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张会亭</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研发技术总监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97,720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157,720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郭成尼</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国际销售总监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100,420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166,420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崔兴建</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品质总监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任免</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2012</w:t>
            </w:r>
            <w:r>
              <w:rPr>
                <w:rFonts w:hint="eastAsia"/>
                <w:sz w:val="18"/>
                <w:szCs w:val="24"/>
              </w:rPr>
              <w:t>年</w:t>
            </w:r>
            <w:r>
              <w:rPr>
                <w:rFonts w:hint="default"/>
                <w:sz w:val="18"/>
                <w:szCs w:val="24"/>
              </w:rPr>
              <w:t>03</w:t>
            </w:r>
            <w:r>
              <w:rPr>
                <w:rFonts w:hint="eastAsia"/>
                <w:sz w:val="18"/>
                <w:szCs w:val="24"/>
              </w:rPr>
              <w:t>月</w:t>
            </w:r>
            <w:r>
              <w:rPr>
                <w:rFonts w:hint="default"/>
                <w:sz w:val="18"/>
                <w:szCs w:val="24"/>
              </w:rPr>
              <w:t>30</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06</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39,000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刘鹏</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离任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11</w:t>
            </w:r>
            <w:r>
              <w:rPr>
                <w:rFonts w:hint="eastAsia"/>
                <w:sz w:val="18"/>
                <w:szCs w:val="24"/>
              </w:rPr>
              <w:t>月</w:t>
            </w:r>
            <w:r>
              <w:rPr>
                <w:rFonts w:hint="default"/>
                <w:sz w:val="18"/>
                <w:szCs w:val="24"/>
              </w:rPr>
              <w:t>26</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08</w:t>
            </w:r>
            <w:r>
              <w:rPr>
                <w:rFonts w:hint="eastAsia"/>
                <w:sz w:val="18"/>
                <w:szCs w:val="24"/>
              </w:rPr>
              <w:t>月</w:t>
            </w:r>
            <w:r>
              <w:rPr>
                <w:rFonts w:hint="default"/>
                <w:sz w:val="18"/>
                <w:szCs w:val="24"/>
              </w:rPr>
              <w:t>05</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不适用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王兆健</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品质总监</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现任</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男</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21,000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85,970</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106,970</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年度分红派息、转增股本；</w:t>
            </w:r>
            <w:r>
              <w:rPr>
                <w:rFonts w:hint="default"/>
                <w:sz w:val="18"/>
                <w:szCs w:val="24"/>
              </w:rPr>
              <w:t>2021</w:t>
            </w:r>
            <w:r>
              <w:rPr>
                <w:rFonts w:hint="eastAsia"/>
                <w:sz w:val="18"/>
                <w:szCs w:val="24"/>
              </w:rPr>
              <w:t>年限制性股票激励计划；</w:t>
            </w:r>
            <w:r>
              <w:rPr>
                <w:rFonts w:hint="default"/>
                <w:sz w:val="18"/>
                <w:szCs w:val="24"/>
              </w:rPr>
              <w:t>2018</w:t>
            </w:r>
            <w:r>
              <w:rPr>
                <w:rFonts w:hint="eastAsia"/>
                <w:sz w:val="18"/>
                <w:szCs w:val="24"/>
              </w:rPr>
              <w:t>年限制性股票激励计划第三个解锁期部分条件未达成予以回购注销</w:t>
            </w:r>
            <w:r>
              <w:rPr>
                <w:rFonts w:hint="default"/>
                <w:sz w:val="18"/>
                <w:szCs w:val="24"/>
              </w:rPr>
              <w:t>20%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4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0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17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1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1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74,024,900</w:t>
            </w:r>
          </w:p>
        </w:tc>
        <w:tc>
          <w:tcPr>
            <w:tcW w:w="10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33,897,695</w:t>
            </w:r>
          </w:p>
        </w:tc>
        <w:tc>
          <w:tcPr>
            <w:tcW w:w="9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3,419,000</w:t>
            </w:r>
          </w:p>
        </w:tc>
        <w:tc>
          <w:tcPr>
            <w:tcW w:w="7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104,503,595</w:t>
            </w:r>
          </w:p>
        </w:tc>
        <w:tc>
          <w:tcPr>
            <w:tcW w:w="27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p>
    <w:p>
      <w:pPr>
        <w:spacing w:beforeLines="0" w:afterLines="0"/>
        <w:jc w:val="left"/>
        <w:rPr>
          <w:rFonts w:hint="default"/>
          <w:sz w:val="18"/>
          <w:szCs w:val="24"/>
        </w:rPr>
        <w:sectPr>
          <w:pgSz w:w="16838" w:h="11906" w:orient="landscape"/>
          <w:pgMar w:top="1134" w:right="1440" w:bottom="1134" w:left="1440" w:header="851" w:footer="992" w:gutter="0"/>
          <w:lnNumType w:countBy="0" w:distance="360"/>
          <w:cols w:space="720" w:num="1"/>
          <w:docGrid w:type="lines" w:linePitch="312" w:charSpace="0"/>
        </w:sectPr>
      </w:pPr>
      <w:r>
        <w:rPr>
          <w:rFonts w:hint="eastAsia"/>
          <w:sz w:val="18"/>
          <w:szCs w:val="24"/>
        </w:rPr>
        <w:t>报告期是否存在任期内董事、监事离任和高级管理人员解聘的情况</w:t>
      </w:r>
    </w:p>
    <w:p>
      <w:pPr>
        <w:spacing w:beforeLines="0" w:afterLines="0"/>
        <w:jc w:val="left"/>
        <w:rPr>
          <w:rFonts w:hint="default"/>
          <w:sz w:val="18"/>
          <w:szCs w:val="24"/>
        </w:rPr>
      </w:pP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tbl>
      <w:tblPr>
        <w:tblStyle w:val="4"/>
        <w:tblW w:w="0" w:type="auto"/>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
      <w:tblGrid>
        <w:gridCol w:w="1329"/>
        <w:gridCol w:w="1330"/>
        <w:gridCol w:w="1330"/>
        <w:gridCol w:w="1467"/>
        <w:gridCol w:w="41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1329"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姓名</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担任的职务</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类型</w:t>
            </w:r>
          </w:p>
        </w:tc>
        <w:tc>
          <w:tcPr>
            <w:tcW w:w="1467"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离任日期</w:t>
            </w:r>
          </w:p>
        </w:tc>
        <w:tc>
          <w:tcPr>
            <w:tcW w:w="4111" w:type="dxa"/>
            <w:tcBorders>
              <w:top w:val="single" w:color="auto" w:sz="6" w:space="0"/>
              <w:left w:val="single" w:color="auto" w:sz="6" w:space="0"/>
              <w:bottom w:val="single" w:color="auto" w:sz="6" w:space="0"/>
              <w:right w:val="single" w:color="auto" w:sz="6" w:space="0"/>
              <w:tl2br w:val="nil"/>
              <w:tr2bl w:val="nil"/>
            </w:tcBorders>
            <w:shd w:val="clear" w:color="auto" w:fill="D3D3D3"/>
            <w:noWrap w:val="0"/>
            <w:vAlign w:val="top"/>
          </w:tcPr>
          <w:p>
            <w:pPr>
              <w:autoSpaceDE w:val="0"/>
              <w:autoSpaceDN w:val="0"/>
              <w:adjustRightInd w:val="0"/>
              <w:spacing w:beforeLines="0" w:afterLines="0"/>
              <w:jc w:val="center"/>
              <w:rPr>
                <w:rFonts w:hint="eastAsia" w:ascii="宋体"/>
                <w:sz w:val="18"/>
                <w:szCs w:val="24"/>
                <w:lang w:val="zh-CN"/>
              </w:rPr>
            </w:pPr>
            <w:r>
              <w:rPr>
                <w:rFonts w:hint="eastAsia" w:ascii="宋体"/>
                <w:sz w:val="18"/>
                <w:szCs w:val="24"/>
                <w:lang w:val="zh-CN"/>
              </w:rPr>
              <w:t>原因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1329"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崔兴建</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品质总监</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任免</w:t>
            </w:r>
          </w:p>
        </w:tc>
        <w:tc>
          <w:tcPr>
            <w:tcW w:w="1467"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default" w:eastAsia="Times New Roman"/>
                <w:sz w:val="18"/>
                <w:szCs w:val="24"/>
                <w:lang w:val="zh-CN"/>
              </w:rPr>
              <w:t>2021</w:t>
            </w:r>
            <w:r>
              <w:rPr>
                <w:rFonts w:hint="eastAsia" w:ascii="宋体"/>
                <w:sz w:val="18"/>
                <w:szCs w:val="24"/>
                <w:lang w:val="zh-CN"/>
              </w:rPr>
              <w:t>年</w:t>
            </w:r>
            <w:r>
              <w:rPr>
                <w:rFonts w:hint="default" w:eastAsia="Times New Roman"/>
                <w:sz w:val="18"/>
                <w:szCs w:val="24"/>
                <w:lang w:val="zh-CN"/>
              </w:rPr>
              <w:t>01</w:t>
            </w:r>
            <w:r>
              <w:rPr>
                <w:rFonts w:hint="eastAsia" w:ascii="宋体"/>
                <w:sz w:val="18"/>
                <w:szCs w:val="24"/>
                <w:lang w:val="zh-CN"/>
              </w:rPr>
              <w:t>月</w:t>
            </w:r>
            <w:r>
              <w:rPr>
                <w:rFonts w:hint="default" w:eastAsia="Times New Roman"/>
                <w:sz w:val="18"/>
                <w:szCs w:val="24"/>
                <w:lang w:val="zh-CN"/>
              </w:rPr>
              <w:t>06</w:t>
            </w:r>
            <w:r>
              <w:rPr>
                <w:rFonts w:hint="eastAsia" w:ascii="宋体"/>
                <w:sz w:val="18"/>
                <w:szCs w:val="24"/>
                <w:lang w:val="zh-CN"/>
              </w:rPr>
              <w:t>日</w:t>
            </w:r>
          </w:p>
        </w:tc>
        <w:tc>
          <w:tcPr>
            <w:tcW w:w="4111"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因工作变动原因申请辞去品质总监职务，仍在公司任职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1329"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eastAsia" w:ascii="宋体" w:hAnsi="宋体" w:cs="宋体"/>
                <w:sz w:val="18"/>
                <w:szCs w:val="24"/>
                <w:lang w:val="zh-CN"/>
              </w:rPr>
              <w:t>刘鹏</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eastAsia" w:ascii="宋体" w:hAnsi="宋体" w:cs="宋体"/>
                <w:sz w:val="18"/>
                <w:szCs w:val="24"/>
                <w:lang w:val="zh-CN"/>
              </w:rPr>
              <w:t>副总经理</w:t>
            </w:r>
          </w:p>
        </w:tc>
        <w:tc>
          <w:tcPr>
            <w:tcW w:w="1330"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eastAsia" w:ascii="宋体" w:hAnsi="宋体" w:cs="宋体"/>
                <w:sz w:val="18"/>
                <w:szCs w:val="24"/>
                <w:lang w:val="zh-CN"/>
              </w:rPr>
              <w:t>离任</w:t>
            </w:r>
          </w:p>
        </w:tc>
        <w:tc>
          <w:tcPr>
            <w:tcW w:w="1467"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default" w:eastAsia="Times New Roman"/>
                <w:sz w:val="18"/>
                <w:szCs w:val="24"/>
                <w:lang w:val="zh-CN"/>
              </w:rPr>
              <w:t>2021</w:t>
            </w:r>
            <w:r>
              <w:rPr>
                <w:rFonts w:hint="eastAsia" w:ascii="宋体" w:hAnsi="宋体" w:cs="宋体"/>
                <w:sz w:val="18"/>
                <w:szCs w:val="24"/>
                <w:lang w:val="zh-CN"/>
              </w:rPr>
              <w:t>年</w:t>
            </w:r>
            <w:r>
              <w:rPr>
                <w:rFonts w:hint="default" w:eastAsia="Times New Roman"/>
                <w:sz w:val="18"/>
                <w:szCs w:val="24"/>
                <w:lang w:val="zh-CN"/>
              </w:rPr>
              <w:t>8</w:t>
            </w:r>
            <w:r>
              <w:rPr>
                <w:rFonts w:hint="eastAsia" w:ascii="宋体" w:hAnsi="宋体" w:cs="宋体"/>
                <w:sz w:val="18"/>
                <w:szCs w:val="24"/>
                <w:lang w:val="zh-CN"/>
              </w:rPr>
              <w:t>月</w:t>
            </w:r>
            <w:r>
              <w:rPr>
                <w:rFonts w:hint="default" w:eastAsia="Times New Roman"/>
                <w:sz w:val="18"/>
                <w:szCs w:val="24"/>
                <w:lang w:val="zh-CN"/>
              </w:rPr>
              <w:t>5</w:t>
            </w:r>
            <w:r>
              <w:rPr>
                <w:rFonts w:hint="eastAsia" w:ascii="宋体" w:hAnsi="宋体" w:cs="宋体"/>
                <w:sz w:val="18"/>
                <w:szCs w:val="24"/>
                <w:lang w:val="zh-CN"/>
              </w:rPr>
              <w:t>日</w:t>
            </w:r>
          </w:p>
        </w:tc>
        <w:tc>
          <w:tcPr>
            <w:tcW w:w="4111" w:type="dxa"/>
            <w:tcBorders>
              <w:top w:val="single" w:color="auto" w:sz="6" w:space="0"/>
              <w:left w:val="single" w:color="auto" w:sz="6" w:space="0"/>
              <w:bottom w:val="single" w:color="auto" w:sz="6" w:space="0"/>
              <w:right w:val="single" w:color="auto" w:sz="6" w:space="0"/>
              <w:tl2br w:val="nil"/>
              <w:tr2bl w:val="nil"/>
            </w:tcBorders>
            <w:shd w:val="clear" w:color="auto" w:fill="FFFFFF"/>
            <w:noWrap w:val="0"/>
            <w:vAlign w:val="top"/>
          </w:tcPr>
          <w:p>
            <w:pPr>
              <w:autoSpaceDE w:val="0"/>
              <w:autoSpaceDN w:val="0"/>
              <w:adjustRightInd w:val="0"/>
              <w:spacing w:beforeLines="0" w:afterLines="0"/>
              <w:jc w:val="left"/>
              <w:rPr>
                <w:rFonts w:hint="default" w:eastAsia="Times New Roman"/>
                <w:sz w:val="18"/>
                <w:szCs w:val="24"/>
                <w:lang w:val="zh-CN"/>
              </w:rPr>
            </w:pPr>
            <w:r>
              <w:rPr>
                <w:rFonts w:hint="eastAsia" w:ascii="宋体" w:hAnsi="宋体" w:cs="宋体"/>
                <w:sz w:val="18"/>
                <w:szCs w:val="24"/>
                <w:lang w:val="zh-CN"/>
              </w:rPr>
              <w:t>因个人原因辞职</w:t>
            </w:r>
          </w:p>
        </w:tc>
      </w:tr>
    </w:tbl>
    <w:p>
      <w:pPr>
        <w:autoSpaceDE w:val="0"/>
        <w:autoSpaceDN w:val="0"/>
        <w:adjustRightInd w:val="0"/>
        <w:spacing w:before="0" w:beforeLines="0" w:after="0" w:afterLines="0"/>
        <w:jc w:val="left"/>
        <w:rPr>
          <w:rFonts w:hint="eastAsia" w:ascii="宋体"/>
          <w:sz w:val="18"/>
          <w:szCs w:val="24"/>
          <w:lang w:val="zh-CN"/>
        </w:rPr>
      </w:pPr>
    </w:p>
    <w:p>
      <w:pPr>
        <w:spacing w:beforeLines="0" w:afterLines="0"/>
        <w:jc w:val="left"/>
        <w:rPr>
          <w:rFonts w:hint="default"/>
          <w:sz w:val="18"/>
          <w:szCs w:val="24"/>
        </w:rPr>
      </w:pPr>
      <w:r>
        <w:rPr>
          <w:rFonts w:hint="eastAsia"/>
          <w:sz w:val="18"/>
          <w:szCs w:val="24"/>
        </w:rPr>
        <w:t>公司董事、监事、高级管理人员变动情况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0"/>
        <w:gridCol w:w="1330"/>
        <w:gridCol w:w="1330"/>
        <w:gridCol w:w="1330"/>
        <w:gridCol w:w="4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姓名</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担任的职务</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类型</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日期</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崔兴建</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品质总监</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任免</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06</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因工作变动原因申请辞去品质总监职务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被选举</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因换届被选举为新任独立董事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丁乃秀</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任期满离任</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因任期届满到期换届离任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刘鹏</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离任</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08</w:t>
            </w:r>
            <w:r>
              <w:rPr>
                <w:rFonts w:hint="eastAsia"/>
                <w:sz w:val="18"/>
                <w:szCs w:val="24"/>
              </w:rPr>
              <w:t>月</w:t>
            </w:r>
            <w:r>
              <w:rPr>
                <w:rFonts w:hint="default"/>
                <w:sz w:val="18"/>
                <w:szCs w:val="24"/>
              </w:rPr>
              <w:t>05</w:t>
            </w:r>
            <w:r>
              <w:rPr>
                <w:rFonts w:hint="eastAsia"/>
                <w:sz w:val="18"/>
                <w:szCs w:val="24"/>
              </w:rPr>
              <w:t>日</w:t>
            </w:r>
          </w:p>
        </w:tc>
        <w:tc>
          <w:tcPr>
            <w:tcW w:w="42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因个人原因辞职</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、任职情况</w:t>
      </w:r>
    </w:p>
    <w:p>
      <w:pPr>
        <w:spacing w:beforeLines="0" w:afterLines="0"/>
        <w:jc w:val="left"/>
        <w:rPr>
          <w:rFonts w:hint="default"/>
          <w:sz w:val="18"/>
          <w:szCs w:val="24"/>
        </w:rPr>
      </w:pPr>
      <w:r>
        <w:rPr>
          <w:rFonts w:hint="eastAsia"/>
          <w:sz w:val="18"/>
          <w:szCs w:val="24"/>
        </w:rPr>
        <w:t>公司现任董事、监事、高级管理人员专业背景、主要工作经历以及目前在公司的主要职责</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w:t>
      </w:r>
      <w:r>
        <w:rPr>
          <w:rFonts w:hint="eastAsia" w:ascii="宋体"/>
          <w:color w:val="auto"/>
          <w:sz w:val="18"/>
          <w:szCs w:val="24"/>
          <w:lang w:val="zh-CN"/>
        </w:rPr>
        <w:t>、范庆伟先生，男，汉族，</w:t>
      </w:r>
      <w:r>
        <w:rPr>
          <w:rFonts w:hint="default" w:eastAsia="Times New Roman"/>
          <w:color w:val="auto"/>
          <w:sz w:val="18"/>
          <w:szCs w:val="24"/>
          <w:lang w:val="zh-CN"/>
        </w:rPr>
        <w:t>1961</w:t>
      </w:r>
      <w:r>
        <w:rPr>
          <w:rFonts w:hint="eastAsia" w:ascii="宋体"/>
          <w:color w:val="auto"/>
          <w:sz w:val="18"/>
          <w:szCs w:val="24"/>
          <w:lang w:val="zh-CN"/>
        </w:rPr>
        <w:t>年生，中国国籍，无境外永久居留权，本科学历，经济师。</w:t>
      </w:r>
      <w:r>
        <w:rPr>
          <w:rFonts w:hint="default" w:eastAsia="Times New Roman"/>
          <w:color w:val="auto"/>
          <w:sz w:val="18"/>
          <w:szCs w:val="24"/>
          <w:lang w:val="zh-CN"/>
        </w:rPr>
        <w:t>1983</w:t>
      </w:r>
      <w:r>
        <w:rPr>
          <w:rFonts w:hint="eastAsia" w:ascii="宋体"/>
          <w:color w:val="auto"/>
          <w:sz w:val="18"/>
          <w:szCs w:val="24"/>
          <w:lang w:val="zh-CN"/>
        </w:rPr>
        <w:t>年至</w:t>
      </w:r>
      <w:r>
        <w:rPr>
          <w:rFonts w:hint="default" w:eastAsia="Times New Roman"/>
          <w:color w:val="auto"/>
          <w:sz w:val="18"/>
          <w:szCs w:val="24"/>
          <w:lang w:val="zh-CN"/>
        </w:rPr>
        <w:t>1988</w:t>
      </w:r>
      <w:r>
        <w:rPr>
          <w:rFonts w:hint="eastAsia" w:ascii="宋体"/>
          <w:color w:val="auto"/>
          <w:sz w:val="18"/>
          <w:szCs w:val="24"/>
          <w:lang w:val="zh-CN"/>
        </w:rPr>
        <w:t>年在青岛电站阀门厂任助理工程师；</w:t>
      </w:r>
      <w:r>
        <w:rPr>
          <w:rFonts w:hint="default" w:eastAsia="Times New Roman"/>
          <w:color w:val="auto"/>
          <w:sz w:val="18"/>
          <w:szCs w:val="24"/>
          <w:lang w:val="zh-CN"/>
        </w:rPr>
        <w:t>1988</w:t>
      </w:r>
      <w:r>
        <w:rPr>
          <w:rFonts w:hint="eastAsia" w:ascii="宋体"/>
          <w:color w:val="auto"/>
          <w:sz w:val="18"/>
          <w:szCs w:val="24"/>
          <w:lang w:val="zh-CN"/>
        </w:rPr>
        <w:t>年至</w:t>
      </w:r>
      <w:r>
        <w:rPr>
          <w:rFonts w:hint="default" w:eastAsia="Times New Roman"/>
          <w:color w:val="auto"/>
          <w:sz w:val="18"/>
          <w:szCs w:val="24"/>
          <w:lang w:val="zh-CN"/>
        </w:rPr>
        <w:t>1995</w:t>
      </w:r>
      <w:r>
        <w:rPr>
          <w:rFonts w:hint="eastAsia" w:ascii="宋体"/>
          <w:color w:val="auto"/>
          <w:sz w:val="18"/>
          <w:szCs w:val="24"/>
          <w:lang w:val="zh-CN"/>
        </w:rPr>
        <w:t>年在中国机械进出口公司青岛分公司任分公司经理；</w:t>
      </w:r>
      <w:r>
        <w:rPr>
          <w:rFonts w:hint="default" w:eastAsia="Times New Roman"/>
          <w:color w:val="auto"/>
          <w:sz w:val="18"/>
          <w:szCs w:val="24"/>
          <w:lang w:val="zh-CN"/>
        </w:rPr>
        <w:t>1995</w:t>
      </w:r>
      <w:r>
        <w:rPr>
          <w:rFonts w:hint="eastAsia" w:ascii="宋体"/>
          <w:color w:val="auto"/>
          <w:sz w:val="18"/>
          <w:szCs w:val="24"/>
          <w:lang w:val="zh-CN"/>
        </w:rPr>
        <w:t>年至</w:t>
      </w:r>
      <w:r>
        <w:rPr>
          <w:rFonts w:hint="default" w:eastAsia="Times New Roman"/>
          <w:color w:val="auto"/>
          <w:sz w:val="18"/>
          <w:szCs w:val="24"/>
          <w:lang w:val="zh-CN"/>
        </w:rPr>
        <w:t>2004</w:t>
      </w:r>
      <w:r>
        <w:rPr>
          <w:rFonts w:hint="eastAsia" w:ascii="宋体"/>
          <w:color w:val="auto"/>
          <w:sz w:val="18"/>
          <w:szCs w:val="24"/>
          <w:lang w:val="zh-CN"/>
        </w:rPr>
        <w:t>年任青岛伟隆经贸有限公司执行董事兼总经理；</w:t>
      </w:r>
      <w:r>
        <w:rPr>
          <w:rFonts w:hint="default" w:eastAsia="Times New Roman"/>
          <w:color w:val="auto"/>
          <w:sz w:val="18"/>
          <w:szCs w:val="24"/>
          <w:lang w:val="zh-CN"/>
        </w:rPr>
        <w:t>2004</w:t>
      </w:r>
      <w:r>
        <w:rPr>
          <w:rFonts w:hint="eastAsia" w:ascii="宋体"/>
          <w:color w:val="auto"/>
          <w:sz w:val="18"/>
          <w:szCs w:val="24"/>
          <w:lang w:val="zh-CN"/>
        </w:rPr>
        <w:t>年至</w:t>
      </w:r>
      <w:r>
        <w:rPr>
          <w:rFonts w:hint="default" w:eastAsia="Times New Roman"/>
          <w:color w:val="auto"/>
          <w:sz w:val="18"/>
          <w:szCs w:val="24"/>
          <w:lang w:val="zh-CN"/>
        </w:rPr>
        <w:t>2012</w:t>
      </w:r>
      <w:r>
        <w:rPr>
          <w:rFonts w:hint="eastAsia" w:ascii="宋体"/>
          <w:color w:val="auto"/>
          <w:sz w:val="18"/>
          <w:szCs w:val="24"/>
          <w:lang w:val="zh-CN"/>
        </w:rPr>
        <w:t>年</w:t>
      </w:r>
      <w:r>
        <w:rPr>
          <w:rFonts w:hint="default" w:eastAsia="Times New Roman"/>
          <w:color w:val="auto"/>
          <w:sz w:val="18"/>
          <w:szCs w:val="24"/>
          <w:lang w:val="zh-CN"/>
        </w:rPr>
        <w:t>3</w:t>
      </w:r>
      <w:r>
        <w:rPr>
          <w:rFonts w:hint="eastAsia" w:ascii="宋体"/>
          <w:color w:val="auto"/>
          <w:sz w:val="18"/>
          <w:szCs w:val="24"/>
          <w:lang w:val="zh-CN"/>
        </w:rPr>
        <w:t>月任青岛伟隆阀门有限公司执行董事兼总经理；</w:t>
      </w:r>
      <w:r>
        <w:rPr>
          <w:rFonts w:hint="default" w:eastAsia="Times New Roman"/>
          <w:color w:val="auto"/>
          <w:sz w:val="18"/>
          <w:szCs w:val="24"/>
          <w:lang w:val="zh-CN"/>
        </w:rPr>
        <w:t>2012</w:t>
      </w:r>
      <w:r>
        <w:rPr>
          <w:rFonts w:hint="eastAsia" w:ascii="宋体"/>
          <w:color w:val="auto"/>
          <w:sz w:val="18"/>
          <w:szCs w:val="24"/>
          <w:lang w:val="zh-CN"/>
        </w:rPr>
        <w:t>年</w:t>
      </w:r>
      <w:r>
        <w:rPr>
          <w:rFonts w:hint="default" w:eastAsia="Times New Roman"/>
          <w:color w:val="auto"/>
          <w:sz w:val="18"/>
          <w:szCs w:val="24"/>
          <w:lang w:val="zh-CN"/>
        </w:rPr>
        <w:t>3</w:t>
      </w:r>
      <w:r>
        <w:rPr>
          <w:rFonts w:hint="eastAsia" w:ascii="宋体"/>
          <w:color w:val="auto"/>
          <w:sz w:val="18"/>
          <w:szCs w:val="24"/>
          <w:lang w:val="zh-CN"/>
        </w:rPr>
        <w:t>月至</w:t>
      </w:r>
      <w:r>
        <w:rPr>
          <w:rFonts w:hint="default" w:eastAsia="Times New Roman"/>
          <w:color w:val="auto"/>
          <w:sz w:val="18"/>
          <w:szCs w:val="24"/>
          <w:lang w:val="zh-CN"/>
        </w:rPr>
        <w:t>2014</w:t>
      </w:r>
      <w:r>
        <w:rPr>
          <w:rFonts w:hint="eastAsia" w:ascii="宋体"/>
          <w:color w:val="auto"/>
          <w:sz w:val="18"/>
          <w:szCs w:val="24"/>
          <w:lang w:val="zh-CN"/>
        </w:rPr>
        <w:t>年</w:t>
      </w:r>
      <w:r>
        <w:rPr>
          <w:rFonts w:hint="default" w:eastAsia="Times New Roman"/>
          <w:color w:val="auto"/>
          <w:sz w:val="18"/>
          <w:szCs w:val="24"/>
          <w:lang w:val="zh-CN"/>
        </w:rPr>
        <w:t>11</w:t>
      </w:r>
      <w:r>
        <w:rPr>
          <w:rFonts w:hint="eastAsia" w:ascii="宋体"/>
          <w:color w:val="auto"/>
          <w:sz w:val="18"/>
          <w:szCs w:val="24"/>
          <w:lang w:val="zh-CN"/>
        </w:rPr>
        <w:t>月任青岛伟隆阀门股份有限公司董事长兼总经理；</w:t>
      </w:r>
      <w:r>
        <w:rPr>
          <w:rFonts w:hint="default" w:eastAsia="Times New Roman"/>
          <w:color w:val="auto"/>
          <w:sz w:val="18"/>
          <w:szCs w:val="24"/>
          <w:lang w:val="zh-CN"/>
        </w:rPr>
        <w:t>2014</w:t>
      </w:r>
      <w:r>
        <w:rPr>
          <w:rFonts w:hint="eastAsia" w:ascii="宋体"/>
          <w:color w:val="auto"/>
          <w:sz w:val="18"/>
          <w:szCs w:val="24"/>
          <w:lang w:val="zh-CN"/>
        </w:rPr>
        <w:t>年</w:t>
      </w:r>
      <w:r>
        <w:rPr>
          <w:rFonts w:hint="default" w:eastAsia="Times New Roman"/>
          <w:color w:val="auto"/>
          <w:sz w:val="18"/>
          <w:szCs w:val="24"/>
          <w:lang w:val="zh-CN"/>
        </w:rPr>
        <w:t>11</w:t>
      </w:r>
      <w:r>
        <w:rPr>
          <w:rFonts w:hint="eastAsia" w:ascii="宋体"/>
          <w:color w:val="auto"/>
          <w:sz w:val="18"/>
          <w:szCs w:val="24"/>
          <w:lang w:val="zh-CN"/>
        </w:rPr>
        <w:t>月至</w:t>
      </w:r>
      <w:r>
        <w:rPr>
          <w:rFonts w:hint="default" w:eastAsia="Times New Roman"/>
          <w:color w:val="auto"/>
          <w:sz w:val="18"/>
          <w:szCs w:val="24"/>
          <w:lang w:val="zh-CN"/>
        </w:rPr>
        <w:t>2015</w:t>
      </w:r>
      <w:r>
        <w:rPr>
          <w:rFonts w:hint="eastAsia" w:ascii="宋体"/>
          <w:color w:val="auto"/>
          <w:sz w:val="18"/>
          <w:szCs w:val="24"/>
          <w:lang w:val="zh-CN"/>
        </w:rPr>
        <w:t>年</w:t>
      </w:r>
      <w:r>
        <w:rPr>
          <w:rFonts w:hint="default" w:eastAsia="Times New Roman"/>
          <w:color w:val="auto"/>
          <w:sz w:val="18"/>
          <w:szCs w:val="24"/>
          <w:lang w:val="zh-CN"/>
        </w:rPr>
        <w:t>3</w:t>
      </w:r>
      <w:r>
        <w:rPr>
          <w:rFonts w:hint="eastAsia" w:ascii="宋体"/>
          <w:color w:val="auto"/>
          <w:sz w:val="18"/>
          <w:szCs w:val="24"/>
          <w:lang w:val="zh-CN"/>
        </w:rPr>
        <w:t>月任青岛伟隆阀门股份有限公司董事长。</w:t>
      </w:r>
      <w:r>
        <w:rPr>
          <w:rFonts w:hint="default" w:eastAsia="Times New Roman"/>
          <w:color w:val="auto"/>
          <w:sz w:val="18"/>
          <w:szCs w:val="24"/>
          <w:lang w:val="zh-CN"/>
        </w:rPr>
        <w:t>2015</w:t>
      </w:r>
      <w:r>
        <w:rPr>
          <w:rFonts w:hint="eastAsia" w:ascii="宋体"/>
          <w:color w:val="auto"/>
          <w:sz w:val="18"/>
          <w:szCs w:val="24"/>
          <w:lang w:val="zh-CN"/>
        </w:rPr>
        <w:t>年</w:t>
      </w:r>
      <w:r>
        <w:rPr>
          <w:rFonts w:hint="default" w:eastAsia="Times New Roman"/>
          <w:color w:val="auto"/>
          <w:sz w:val="18"/>
          <w:szCs w:val="24"/>
          <w:lang w:val="zh-CN"/>
        </w:rPr>
        <w:t>3</w:t>
      </w:r>
      <w:r>
        <w:rPr>
          <w:rFonts w:hint="eastAsia" w:ascii="宋体"/>
          <w:color w:val="auto"/>
          <w:sz w:val="18"/>
          <w:szCs w:val="24"/>
          <w:lang w:val="zh-CN"/>
        </w:rPr>
        <w:t>月至今任本公司董事长，现兼任莱州伟隆执行董事、伟隆五金执行董事兼总经理、伟隆流体执行董事、英国伟隆董事兼经理、美国伟隆董事、惠隆管理、伟隆香港实</w:t>
      </w:r>
      <w:r>
        <w:rPr>
          <w:rFonts w:hint="eastAsia" w:ascii="宋体" w:hAnsi="宋体" w:cs="宋体"/>
          <w:color w:val="auto"/>
          <w:sz w:val="18"/>
          <w:szCs w:val="24"/>
          <w:lang w:val="zh-CN"/>
        </w:rPr>
        <w:t>业有限公司执行董事。</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2</w:t>
      </w:r>
      <w:r>
        <w:rPr>
          <w:rFonts w:hint="eastAsia" w:ascii="宋体" w:hAnsi="宋体" w:cs="宋体"/>
          <w:color w:val="auto"/>
          <w:sz w:val="18"/>
          <w:szCs w:val="24"/>
          <w:lang w:val="zh-CN"/>
        </w:rPr>
        <w:t>、李会君先生，男，汉族，</w:t>
      </w:r>
      <w:r>
        <w:rPr>
          <w:rFonts w:hint="default" w:eastAsia="Times New Roman"/>
          <w:color w:val="auto"/>
          <w:sz w:val="18"/>
          <w:szCs w:val="24"/>
          <w:lang w:val="zh-CN"/>
        </w:rPr>
        <w:t>1964</w:t>
      </w:r>
      <w:r>
        <w:rPr>
          <w:rFonts w:hint="eastAsia" w:ascii="宋体" w:hAnsi="宋体" w:cs="宋体"/>
          <w:color w:val="auto"/>
          <w:sz w:val="18"/>
          <w:szCs w:val="24"/>
          <w:lang w:val="zh-CN"/>
        </w:rPr>
        <w:t>年生，中国国籍，无境外永久居留权，</w:t>
      </w:r>
      <w:r>
        <w:rPr>
          <w:rFonts w:hint="eastAsia" w:ascii="MS Mincho" w:hAnsi="MS Mincho" w:cs="MS Mincho"/>
          <w:color w:val="auto"/>
          <w:sz w:val="18"/>
          <w:szCs w:val="24"/>
          <w:lang w:val="zh-CN"/>
        </w:rPr>
        <w:t>本</w:t>
      </w:r>
      <w:r>
        <w:rPr>
          <w:rFonts w:hint="eastAsia" w:ascii="宋体" w:hAnsi="宋体" w:cs="宋体"/>
          <w:color w:val="auto"/>
          <w:sz w:val="18"/>
          <w:szCs w:val="24"/>
          <w:lang w:val="zh-CN"/>
        </w:rPr>
        <w:t>科学历，高级工程师。</w:t>
      </w:r>
      <w:r>
        <w:rPr>
          <w:rFonts w:hint="default" w:eastAsia="Times New Roman"/>
          <w:color w:val="auto"/>
          <w:sz w:val="18"/>
          <w:szCs w:val="24"/>
          <w:lang w:val="zh-CN"/>
        </w:rPr>
        <w:t>1985</w:t>
      </w:r>
      <w:r>
        <w:rPr>
          <w:rFonts w:hint="eastAsia" w:ascii="宋体" w:hAnsi="宋体" w:cs="宋体"/>
          <w:color w:val="auto"/>
          <w:sz w:val="18"/>
          <w:szCs w:val="24"/>
          <w:lang w:val="zh-CN"/>
        </w:rPr>
        <w:t>年至</w:t>
      </w:r>
      <w:r>
        <w:rPr>
          <w:rFonts w:hint="default" w:eastAsia="Times New Roman"/>
          <w:color w:val="auto"/>
          <w:sz w:val="18"/>
          <w:szCs w:val="24"/>
          <w:lang w:val="zh-CN"/>
        </w:rPr>
        <w:t>1998</w:t>
      </w:r>
      <w:r>
        <w:rPr>
          <w:rFonts w:hint="eastAsia" w:ascii="宋体" w:hAnsi="宋体" w:cs="宋体"/>
          <w:color w:val="auto"/>
          <w:sz w:val="18"/>
          <w:szCs w:val="24"/>
          <w:lang w:val="zh-CN"/>
        </w:rPr>
        <w:t>年在青岛电站阀门厂任工程师；</w:t>
      </w:r>
      <w:r>
        <w:rPr>
          <w:rFonts w:hint="default" w:eastAsia="Times New Roman"/>
          <w:color w:val="auto"/>
          <w:sz w:val="18"/>
          <w:szCs w:val="24"/>
          <w:lang w:val="zh-CN"/>
        </w:rPr>
        <w:t>1998</w:t>
      </w:r>
      <w:r>
        <w:rPr>
          <w:rFonts w:hint="eastAsia" w:ascii="宋体" w:hAnsi="宋体" w:cs="宋体"/>
          <w:color w:val="auto"/>
          <w:sz w:val="18"/>
          <w:szCs w:val="24"/>
          <w:lang w:val="zh-CN"/>
        </w:rPr>
        <w:t>年至</w:t>
      </w:r>
      <w:r>
        <w:rPr>
          <w:rFonts w:hint="default" w:eastAsia="Times New Roman"/>
          <w:color w:val="auto"/>
          <w:sz w:val="18"/>
          <w:szCs w:val="24"/>
          <w:lang w:val="zh-CN"/>
        </w:rPr>
        <w:t>2004</w:t>
      </w:r>
      <w:r>
        <w:rPr>
          <w:rFonts w:hint="eastAsia" w:ascii="宋体" w:hAnsi="宋体" w:cs="宋体"/>
          <w:color w:val="auto"/>
          <w:sz w:val="18"/>
          <w:szCs w:val="24"/>
          <w:lang w:val="zh-CN"/>
        </w:rPr>
        <w:t>年任青岛伟隆经贸有限公司副总经理；</w:t>
      </w:r>
      <w:r>
        <w:rPr>
          <w:rFonts w:hint="default" w:eastAsia="Times New Roman"/>
          <w:color w:val="auto"/>
          <w:sz w:val="18"/>
          <w:szCs w:val="24"/>
          <w:lang w:val="zh-CN"/>
        </w:rPr>
        <w:t>2004</w:t>
      </w:r>
      <w:r>
        <w:rPr>
          <w:rFonts w:hint="eastAsia" w:ascii="宋体" w:hAnsi="宋体" w:cs="宋体"/>
          <w:color w:val="auto"/>
          <w:sz w:val="18"/>
          <w:szCs w:val="24"/>
          <w:lang w:val="zh-CN"/>
        </w:rPr>
        <w:t>年至</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月任青岛伟隆阀门有限公司副总经理；</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2014</w:t>
      </w:r>
      <w:r>
        <w:rPr>
          <w:rFonts w:hint="eastAsia" w:ascii="宋体" w:hAnsi="宋体" w:cs="宋体"/>
          <w:color w:val="auto"/>
          <w:sz w:val="18"/>
          <w:szCs w:val="24"/>
          <w:lang w:val="zh-CN"/>
        </w:rPr>
        <w:t>年</w:t>
      </w:r>
      <w:r>
        <w:rPr>
          <w:rFonts w:hint="default" w:eastAsia="Times New Roman"/>
          <w:color w:val="auto"/>
          <w:sz w:val="18"/>
          <w:szCs w:val="24"/>
          <w:lang w:val="zh-CN"/>
        </w:rPr>
        <w:t>11</w:t>
      </w:r>
      <w:r>
        <w:rPr>
          <w:rFonts w:hint="eastAsia" w:ascii="宋体" w:hAnsi="宋体" w:cs="宋体"/>
          <w:color w:val="auto"/>
          <w:sz w:val="18"/>
          <w:szCs w:val="24"/>
          <w:lang w:val="zh-CN"/>
        </w:rPr>
        <w:t>月任青岛伟隆阀门股份有限公司董事兼副总经理；</w:t>
      </w:r>
      <w:r>
        <w:rPr>
          <w:rFonts w:hint="default" w:eastAsia="Times New Roman"/>
          <w:color w:val="auto"/>
          <w:sz w:val="18"/>
          <w:szCs w:val="24"/>
          <w:lang w:val="zh-CN"/>
        </w:rPr>
        <w:t>2014</w:t>
      </w:r>
      <w:r>
        <w:rPr>
          <w:rFonts w:hint="eastAsia" w:ascii="宋体" w:hAnsi="宋体" w:cs="宋体"/>
          <w:color w:val="auto"/>
          <w:sz w:val="18"/>
          <w:szCs w:val="24"/>
          <w:lang w:val="zh-CN"/>
        </w:rPr>
        <w:t>年</w:t>
      </w:r>
      <w:r>
        <w:rPr>
          <w:rFonts w:hint="default" w:eastAsia="Times New Roman"/>
          <w:color w:val="auto"/>
          <w:sz w:val="18"/>
          <w:szCs w:val="24"/>
          <w:lang w:val="zh-CN"/>
        </w:rPr>
        <w:t>11</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月任青岛伟隆阀门股份有限公司董事兼总经理；</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月至今任本公司董事兼总经理；</w:t>
      </w:r>
      <w:r>
        <w:rPr>
          <w:rFonts w:hint="default" w:eastAsia="Times New Roman"/>
          <w:color w:val="auto"/>
          <w:sz w:val="18"/>
          <w:szCs w:val="24"/>
          <w:lang w:val="zh-CN"/>
        </w:rPr>
        <w:t>2020</w:t>
      </w:r>
      <w:r>
        <w:rPr>
          <w:rFonts w:hint="eastAsia" w:ascii="宋体" w:hAnsi="宋体" w:cs="宋体"/>
          <w:color w:val="auto"/>
          <w:sz w:val="18"/>
          <w:szCs w:val="24"/>
          <w:lang w:val="zh-CN"/>
        </w:rPr>
        <w:t>年</w:t>
      </w:r>
      <w:r>
        <w:rPr>
          <w:rFonts w:hint="default" w:eastAsia="Times New Roman"/>
          <w:color w:val="auto"/>
          <w:sz w:val="18"/>
          <w:szCs w:val="24"/>
          <w:lang w:val="zh-CN"/>
        </w:rPr>
        <w:t>1</w:t>
      </w:r>
      <w:r>
        <w:rPr>
          <w:rFonts w:hint="eastAsia" w:ascii="宋体" w:hAnsi="宋体" w:cs="宋体"/>
          <w:color w:val="auto"/>
          <w:sz w:val="18"/>
          <w:szCs w:val="24"/>
          <w:lang w:val="zh-CN"/>
        </w:rPr>
        <w:t>月至今任青岛即聚机电有限责任公司法定代表人、执行董事兼经理。</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3</w:t>
      </w:r>
      <w:r>
        <w:rPr>
          <w:rFonts w:hint="eastAsia" w:ascii="宋体" w:hAnsi="宋体" w:cs="宋体"/>
          <w:color w:val="auto"/>
          <w:sz w:val="18"/>
          <w:szCs w:val="24"/>
          <w:lang w:val="zh-CN"/>
        </w:rPr>
        <w:t>、范玉隆先生，男，汉族，</w:t>
      </w:r>
      <w:r>
        <w:rPr>
          <w:rFonts w:hint="default" w:eastAsia="Times New Roman"/>
          <w:color w:val="auto"/>
          <w:sz w:val="18"/>
          <w:szCs w:val="24"/>
          <w:lang w:val="zh-CN"/>
        </w:rPr>
        <w:t>1988</w:t>
      </w:r>
      <w:r>
        <w:rPr>
          <w:rFonts w:hint="eastAsia" w:ascii="宋体" w:hAnsi="宋体" w:cs="宋体"/>
          <w:color w:val="auto"/>
          <w:sz w:val="18"/>
          <w:szCs w:val="24"/>
          <w:lang w:val="zh-CN"/>
        </w:rPr>
        <w:t>年生，中国国籍，无境外永久居留权，本科学历。</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月任青岛伟隆阀门股份有限公司董事、采购部副部长。</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w:t>
      </w:r>
      <w:r>
        <w:rPr>
          <w:rFonts w:hint="eastAsia" w:ascii="MS Mincho" w:hAnsi="MS Mincho" w:cs="MS Mincho"/>
          <w:color w:val="auto"/>
          <w:sz w:val="18"/>
          <w:szCs w:val="24"/>
          <w:lang w:val="zh-CN"/>
        </w:rPr>
        <w:t>本</w:t>
      </w:r>
      <w:r>
        <w:rPr>
          <w:rFonts w:hint="eastAsia" w:ascii="宋体" w:hAnsi="宋体" w:cs="宋体"/>
          <w:color w:val="auto"/>
          <w:sz w:val="18"/>
          <w:szCs w:val="24"/>
          <w:lang w:val="zh-CN"/>
        </w:rPr>
        <w:t>公司董事、生产部总监助理，现兼任伟隆流体监事。</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4</w:t>
      </w:r>
      <w:r>
        <w:rPr>
          <w:rFonts w:hint="eastAsia" w:ascii="宋体" w:hAnsi="宋体" w:cs="宋体"/>
          <w:color w:val="auto"/>
          <w:sz w:val="18"/>
          <w:szCs w:val="24"/>
          <w:lang w:val="zh-CN"/>
        </w:rPr>
        <w:t>、迟娜娜女士，女，汉族，</w:t>
      </w:r>
      <w:r>
        <w:rPr>
          <w:rFonts w:hint="default" w:eastAsia="Times New Roman"/>
          <w:color w:val="auto"/>
          <w:sz w:val="18"/>
          <w:szCs w:val="24"/>
          <w:lang w:val="zh-CN"/>
        </w:rPr>
        <w:t>1979</w:t>
      </w:r>
      <w:r>
        <w:rPr>
          <w:rFonts w:hint="eastAsia" w:ascii="宋体" w:hAnsi="宋体" w:cs="宋体"/>
          <w:color w:val="auto"/>
          <w:sz w:val="18"/>
          <w:szCs w:val="24"/>
          <w:lang w:val="zh-CN"/>
        </w:rPr>
        <w:t>年生，中国国籍，无境外永久居留权，本科学历，高级会计师。</w:t>
      </w:r>
      <w:r>
        <w:rPr>
          <w:rFonts w:hint="default" w:eastAsia="Times New Roman"/>
          <w:color w:val="auto"/>
          <w:sz w:val="18"/>
          <w:szCs w:val="24"/>
          <w:lang w:val="zh-CN"/>
        </w:rPr>
        <w:t>2003</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月至</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月历任青岛伟隆五金机械有限公司会计、财务部长、青岛伟隆阀门有限公司会计、财务部长；</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月任青岛伟隆阀门股份有限公司董事兼财务总监。</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月至今任本公司董事兼财务总监。</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5</w:t>
      </w:r>
      <w:r>
        <w:rPr>
          <w:rFonts w:hint="eastAsia" w:ascii="宋体" w:hAnsi="宋体" w:cs="宋体"/>
          <w:color w:val="auto"/>
          <w:sz w:val="18"/>
          <w:szCs w:val="24"/>
          <w:lang w:val="zh-CN"/>
        </w:rPr>
        <w:t>、樊培银先生，男，中国国籍，无境外居留权，</w:t>
      </w:r>
      <w:r>
        <w:rPr>
          <w:rFonts w:hint="default" w:eastAsia="Times New Roman"/>
          <w:color w:val="auto"/>
          <w:sz w:val="18"/>
          <w:szCs w:val="24"/>
          <w:lang w:val="zh-CN"/>
        </w:rPr>
        <w:t>1965</w:t>
      </w:r>
      <w:r>
        <w:rPr>
          <w:rFonts w:hint="eastAsia" w:ascii="宋体" w:hAnsi="宋体" w:cs="宋体"/>
          <w:color w:val="auto"/>
          <w:sz w:val="18"/>
          <w:szCs w:val="24"/>
          <w:lang w:val="zh-CN"/>
        </w:rPr>
        <w:t>年出生，汉族，博士研究生学历；</w:t>
      </w:r>
      <w:r>
        <w:rPr>
          <w:rFonts w:hint="default" w:eastAsia="Times New Roman"/>
          <w:color w:val="auto"/>
          <w:sz w:val="18"/>
          <w:szCs w:val="24"/>
          <w:lang w:val="zh-CN"/>
        </w:rPr>
        <w:t>1989</w:t>
      </w:r>
      <w:r>
        <w:rPr>
          <w:rFonts w:hint="eastAsia" w:ascii="宋体" w:hAnsi="宋体" w:cs="宋体"/>
          <w:color w:val="auto"/>
          <w:sz w:val="18"/>
          <w:szCs w:val="24"/>
          <w:lang w:val="zh-CN"/>
        </w:rPr>
        <w:t>年</w:t>
      </w:r>
      <w:r>
        <w:rPr>
          <w:rFonts w:hint="default" w:eastAsia="Times New Roman"/>
          <w:color w:val="auto"/>
          <w:sz w:val="18"/>
          <w:szCs w:val="24"/>
          <w:lang w:val="zh-CN"/>
        </w:rPr>
        <w:t>6</w:t>
      </w:r>
      <w:r>
        <w:rPr>
          <w:rFonts w:hint="eastAsia" w:ascii="宋体" w:hAnsi="宋体" w:cs="宋体"/>
          <w:color w:val="auto"/>
          <w:sz w:val="18"/>
          <w:szCs w:val="24"/>
          <w:lang w:val="zh-CN"/>
        </w:rPr>
        <w:t>月至</w:t>
      </w:r>
      <w:r>
        <w:rPr>
          <w:rFonts w:hint="default" w:eastAsia="Times New Roman"/>
          <w:color w:val="auto"/>
          <w:sz w:val="18"/>
          <w:szCs w:val="24"/>
          <w:lang w:val="zh-CN"/>
        </w:rPr>
        <w:t>1989</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月任吉林农业大学助教、讲师；</w:t>
      </w:r>
      <w:r>
        <w:rPr>
          <w:rFonts w:hint="default" w:eastAsia="Times New Roman"/>
          <w:color w:val="auto"/>
          <w:sz w:val="18"/>
          <w:szCs w:val="24"/>
          <w:lang w:val="zh-CN"/>
        </w:rPr>
        <w:t>2001</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月至今任中国海洋大学会计系讲师、副教授；</w:t>
      </w:r>
      <w:r>
        <w:rPr>
          <w:rFonts w:hint="default" w:eastAsia="Times New Roman"/>
          <w:color w:val="auto"/>
          <w:sz w:val="18"/>
          <w:szCs w:val="24"/>
          <w:lang w:val="zh-CN"/>
        </w:rPr>
        <w:t>2009</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w:t>
      </w:r>
      <w:r>
        <w:rPr>
          <w:rFonts w:hint="default" w:eastAsia="Times New Roman"/>
          <w:color w:val="auto"/>
          <w:sz w:val="18"/>
          <w:szCs w:val="24"/>
          <w:lang w:val="zh-CN"/>
        </w:rPr>
        <w:t> </w:t>
      </w:r>
      <w:r>
        <w:rPr>
          <w:rFonts w:hint="eastAsia" w:ascii="宋体" w:hAnsi="宋体" w:cs="宋体"/>
          <w:color w:val="auto"/>
          <w:sz w:val="18"/>
          <w:szCs w:val="24"/>
          <w:lang w:val="zh-CN"/>
        </w:rPr>
        <w:t>至</w:t>
      </w:r>
      <w:r>
        <w:rPr>
          <w:rFonts w:hint="default" w:eastAsia="Times New Roman"/>
          <w:color w:val="auto"/>
          <w:sz w:val="18"/>
          <w:szCs w:val="24"/>
          <w:lang w:val="zh-CN"/>
        </w:rPr>
        <w:t> 2013</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月，任青岛黄海橡胶股份有限公司（现</w:t>
      </w:r>
      <w:r>
        <w:rPr>
          <w:rFonts w:hint="default" w:eastAsia="Times New Roman"/>
          <w:color w:val="auto"/>
          <w:sz w:val="18"/>
          <w:szCs w:val="24"/>
          <w:lang w:val="zh-CN"/>
        </w:rPr>
        <w:t>“</w:t>
      </w:r>
      <w:r>
        <w:rPr>
          <w:rFonts w:hint="eastAsia" w:ascii="宋体" w:hAnsi="宋体" w:cs="宋体"/>
          <w:color w:val="auto"/>
          <w:sz w:val="18"/>
          <w:szCs w:val="24"/>
          <w:lang w:val="zh-CN"/>
        </w:rPr>
        <w:t>克劳斯</w:t>
      </w:r>
      <w:r>
        <w:rPr>
          <w:rFonts w:hint="default" w:eastAsia="Times New Roman"/>
          <w:color w:val="auto"/>
          <w:sz w:val="18"/>
          <w:szCs w:val="24"/>
          <w:lang w:val="zh-CN"/>
        </w:rPr>
        <w:t>”</w:t>
      </w:r>
      <w:r>
        <w:rPr>
          <w:rFonts w:hint="eastAsia" w:ascii="宋体" w:hAnsi="宋体" w:cs="宋体"/>
          <w:color w:val="auto"/>
          <w:sz w:val="18"/>
          <w:szCs w:val="24"/>
          <w:lang w:val="zh-CN"/>
        </w:rPr>
        <w:t>）独立董事；</w:t>
      </w:r>
      <w:r>
        <w:rPr>
          <w:rFonts w:hint="default" w:eastAsia="Times New Roman"/>
          <w:color w:val="auto"/>
          <w:sz w:val="18"/>
          <w:szCs w:val="24"/>
          <w:lang w:val="zh-CN"/>
        </w:rPr>
        <w:t>2019</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w:t>
      </w:r>
      <w:r>
        <w:rPr>
          <w:rFonts w:hint="default" w:eastAsia="Times New Roman"/>
          <w:color w:val="auto"/>
          <w:sz w:val="18"/>
          <w:szCs w:val="24"/>
          <w:lang w:val="zh-CN"/>
        </w:rPr>
        <w:t> </w:t>
      </w:r>
      <w:r>
        <w:rPr>
          <w:rFonts w:hint="eastAsia" w:ascii="宋体" w:hAnsi="宋体" w:cs="宋体"/>
          <w:color w:val="auto"/>
          <w:sz w:val="18"/>
          <w:szCs w:val="24"/>
          <w:lang w:val="zh-CN"/>
        </w:rPr>
        <w:t>至今，任青岛汉缆股份有限公司独立董事；</w:t>
      </w:r>
      <w:r>
        <w:rPr>
          <w:rFonts w:hint="default" w:eastAsia="Times New Roman"/>
          <w:color w:val="auto"/>
          <w:sz w:val="18"/>
          <w:szCs w:val="24"/>
          <w:lang w:val="zh-CN"/>
        </w:rPr>
        <w:t xml:space="preserve"> 2013</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2019</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月，任青岛东方铁塔股份有限公司独立董事；</w:t>
      </w:r>
      <w:r>
        <w:rPr>
          <w:rFonts w:hint="default" w:eastAsia="Times New Roman"/>
          <w:color w:val="auto"/>
          <w:sz w:val="18"/>
          <w:szCs w:val="24"/>
          <w:lang w:val="zh-CN"/>
        </w:rPr>
        <w:t>2016</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月至今任青岛日辰食品股份有限公司独立董事；</w:t>
      </w:r>
      <w:r>
        <w:rPr>
          <w:rFonts w:hint="default" w:eastAsia="Times New Roman"/>
          <w:color w:val="auto"/>
          <w:sz w:val="18"/>
          <w:szCs w:val="24"/>
          <w:lang w:val="zh-CN"/>
        </w:rPr>
        <w:t>2016</w:t>
      </w:r>
      <w:r>
        <w:rPr>
          <w:rFonts w:hint="eastAsia" w:ascii="宋体" w:hAnsi="宋体" w:cs="宋体"/>
          <w:color w:val="auto"/>
          <w:sz w:val="18"/>
          <w:szCs w:val="24"/>
          <w:lang w:val="zh-CN"/>
        </w:rPr>
        <w:t>年</w:t>
      </w:r>
      <w:r>
        <w:rPr>
          <w:rFonts w:hint="default" w:eastAsia="Times New Roman"/>
          <w:color w:val="auto"/>
          <w:sz w:val="18"/>
          <w:szCs w:val="24"/>
          <w:lang w:val="zh-CN"/>
        </w:rPr>
        <w:t>6</w:t>
      </w:r>
      <w:r>
        <w:rPr>
          <w:rFonts w:hint="eastAsia" w:ascii="宋体" w:hAnsi="宋体" w:cs="宋体"/>
          <w:color w:val="auto"/>
          <w:sz w:val="18"/>
          <w:szCs w:val="24"/>
          <w:lang w:val="zh-CN"/>
        </w:rPr>
        <w:t>月至今任青岛国林环保科技股份有限公司独立董事；</w:t>
      </w:r>
      <w:r>
        <w:rPr>
          <w:rFonts w:hint="default" w:eastAsia="Times New Roman"/>
          <w:color w:val="auto"/>
          <w:sz w:val="18"/>
          <w:szCs w:val="24"/>
          <w:lang w:val="zh-CN"/>
        </w:rPr>
        <w:t>2019</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月至今，任深圳大通实业股份有限公司独立董事。兼青岛市财政局、科技局财务评审专家。</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6</w:t>
      </w:r>
      <w:r>
        <w:rPr>
          <w:rFonts w:hint="eastAsia" w:ascii="宋体" w:hAnsi="宋体" w:cs="宋体"/>
          <w:color w:val="auto"/>
          <w:sz w:val="18"/>
          <w:szCs w:val="24"/>
          <w:lang w:val="zh-CN"/>
        </w:rPr>
        <w:t>、高科先生，男，中国国籍，无境外居留权，</w:t>
      </w:r>
      <w:r>
        <w:rPr>
          <w:rFonts w:hint="default" w:eastAsia="Times New Roman"/>
          <w:color w:val="auto"/>
          <w:sz w:val="18"/>
          <w:szCs w:val="24"/>
          <w:lang w:val="zh-CN"/>
        </w:rPr>
        <w:t>1978</w:t>
      </w:r>
      <w:r>
        <w:rPr>
          <w:rFonts w:hint="eastAsia" w:ascii="宋体" w:hAnsi="宋体" w:cs="宋体"/>
          <w:color w:val="auto"/>
          <w:sz w:val="18"/>
          <w:szCs w:val="24"/>
          <w:lang w:val="zh-CN"/>
        </w:rPr>
        <w:t>年出生，汉族，硕士研究生学历；</w:t>
      </w:r>
      <w:r>
        <w:rPr>
          <w:rFonts w:hint="default" w:eastAsia="Times New Roman"/>
          <w:color w:val="auto"/>
          <w:sz w:val="18"/>
          <w:szCs w:val="24"/>
          <w:lang w:val="zh-CN"/>
        </w:rPr>
        <w:t>2012.10</w:t>
      </w:r>
      <w:r>
        <w:rPr>
          <w:rFonts w:hint="eastAsia" w:ascii="宋体" w:hAnsi="宋体" w:cs="宋体"/>
          <w:color w:val="auto"/>
          <w:sz w:val="18"/>
          <w:szCs w:val="24"/>
          <w:lang w:val="zh-CN"/>
        </w:rPr>
        <w:t>至</w:t>
      </w:r>
      <w:r>
        <w:rPr>
          <w:rFonts w:hint="default" w:eastAsia="Times New Roman"/>
          <w:color w:val="auto"/>
          <w:sz w:val="18"/>
          <w:szCs w:val="24"/>
          <w:lang w:val="zh-CN"/>
        </w:rPr>
        <w:t>2017.6</w:t>
      </w:r>
      <w:r>
        <w:rPr>
          <w:rFonts w:hint="eastAsia" w:ascii="宋体" w:hAnsi="宋体" w:cs="宋体"/>
          <w:color w:val="auto"/>
          <w:sz w:val="18"/>
          <w:szCs w:val="24"/>
          <w:lang w:val="zh-CN"/>
        </w:rPr>
        <w:t>历任中信证券（山东）有限责任公司、中信证券股份有限公司高级经理、助理副总裁。</w:t>
      </w:r>
      <w:r>
        <w:rPr>
          <w:rFonts w:hint="default" w:eastAsia="Times New Roman"/>
          <w:color w:val="auto"/>
          <w:sz w:val="18"/>
          <w:szCs w:val="24"/>
          <w:lang w:val="zh-CN"/>
        </w:rPr>
        <w:t>2017.6</w:t>
      </w:r>
      <w:r>
        <w:rPr>
          <w:rFonts w:hint="eastAsia" w:ascii="宋体" w:hAnsi="宋体" w:cs="宋体"/>
          <w:color w:val="auto"/>
          <w:sz w:val="18"/>
          <w:szCs w:val="24"/>
          <w:lang w:val="zh-CN"/>
        </w:rPr>
        <w:t>至</w:t>
      </w:r>
      <w:r>
        <w:rPr>
          <w:rFonts w:hint="default" w:eastAsia="Times New Roman"/>
          <w:color w:val="auto"/>
          <w:sz w:val="18"/>
          <w:szCs w:val="24"/>
          <w:lang w:val="zh-CN"/>
        </w:rPr>
        <w:t>2018.3</w:t>
      </w:r>
      <w:r>
        <w:rPr>
          <w:rFonts w:hint="eastAsia" w:ascii="宋体" w:hAnsi="宋体" w:cs="宋体"/>
          <w:color w:val="auto"/>
          <w:sz w:val="18"/>
          <w:szCs w:val="24"/>
          <w:lang w:val="zh-CN"/>
        </w:rPr>
        <w:t>任中国光大银行股份有限公司青岛分行战略客户与投资银行部总经理助理，</w:t>
      </w:r>
      <w:r>
        <w:rPr>
          <w:rFonts w:hint="default" w:eastAsia="Times New Roman"/>
          <w:color w:val="auto"/>
          <w:sz w:val="18"/>
          <w:szCs w:val="24"/>
          <w:lang w:val="zh-CN"/>
        </w:rPr>
        <w:t>2018.3</w:t>
      </w:r>
      <w:r>
        <w:rPr>
          <w:rFonts w:hint="eastAsia" w:ascii="宋体" w:hAnsi="宋体" w:cs="宋体"/>
          <w:color w:val="auto"/>
          <w:sz w:val="18"/>
          <w:szCs w:val="24"/>
          <w:lang w:val="zh-CN"/>
        </w:rPr>
        <w:t>至今任山东文康律师事务所金融部主任，</w:t>
      </w:r>
      <w:r>
        <w:rPr>
          <w:rFonts w:hint="default" w:eastAsia="Times New Roman"/>
          <w:color w:val="auto"/>
          <w:sz w:val="18"/>
          <w:szCs w:val="24"/>
          <w:lang w:val="zh-CN"/>
        </w:rPr>
        <w:t>2020.9</w:t>
      </w:r>
      <w:r>
        <w:rPr>
          <w:rFonts w:hint="eastAsia" w:ascii="宋体" w:hAnsi="宋体" w:cs="宋体"/>
          <w:color w:val="auto"/>
          <w:sz w:val="18"/>
          <w:szCs w:val="24"/>
          <w:lang w:val="zh-CN"/>
        </w:rPr>
        <w:t>至今任山东朗进科技股份有限公司独立董事。</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7</w:t>
      </w:r>
      <w:r>
        <w:rPr>
          <w:rFonts w:hint="eastAsia" w:ascii="宋体" w:hAnsi="宋体" w:cs="宋体"/>
          <w:color w:val="auto"/>
          <w:sz w:val="18"/>
          <w:szCs w:val="24"/>
          <w:lang w:val="zh-CN"/>
        </w:rPr>
        <w:t>、宋银立先生，男，</w:t>
      </w:r>
      <w:r>
        <w:rPr>
          <w:rFonts w:hint="default" w:eastAsia="Times New Roman"/>
          <w:color w:val="auto"/>
          <w:sz w:val="18"/>
          <w:szCs w:val="24"/>
          <w:lang w:val="zh-CN"/>
        </w:rPr>
        <w:t>1965</w:t>
      </w:r>
      <w:r>
        <w:rPr>
          <w:rFonts w:hint="eastAsia" w:ascii="宋体" w:hAnsi="宋体" w:cs="宋体"/>
          <w:color w:val="auto"/>
          <w:sz w:val="18"/>
          <w:szCs w:val="24"/>
          <w:lang w:val="zh-CN"/>
        </w:rPr>
        <w:t>年出生，中国国籍，无境外居留权，大学本科学历，教授级高级工程师。</w:t>
      </w:r>
      <w:r>
        <w:rPr>
          <w:rFonts w:hint="default" w:eastAsia="Times New Roman"/>
          <w:color w:val="auto"/>
          <w:sz w:val="18"/>
          <w:szCs w:val="24"/>
          <w:lang w:val="zh-CN"/>
        </w:rPr>
        <w:t>1988</w:t>
      </w:r>
      <w:r>
        <w:rPr>
          <w:rFonts w:hint="eastAsia" w:ascii="宋体" w:hAnsi="宋体" w:cs="宋体"/>
          <w:color w:val="auto"/>
          <w:sz w:val="18"/>
          <w:szCs w:val="24"/>
          <w:lang w:val="zh-CN"/>
        </w:rPr>
        <w:t>年至</w:t>
      </w:r>
      <w:r>
        <w:rPr>
          <w:rFonts w:hint="default" w:eastAsia="Times New Roman"/>
          <w:color w:val="auto"/>
          <w:sz w:val="18"/>
          <w:szCs w:val="24"/>
          <w:lang w:val="zh-CN"/>
        </w:rPr>
        <w:t>2004</w:t>
      </w:r>
      <w:r>
        <w:rPr>
          <w:rFonts w:hint="eastAsia" w:ascii="宋体" w:hAnsi="宋体" w:cs="宋体"/>
          <w:color w:val="auto"/>
          <w:sz w:val="18"/>
          <w:szCs w:val="24"/>
          <w:lang w:val="zh-CN"/>
        </w:rPr>
        <w:t>年，担任开封高压阀门厂总工办副主任，开封高压阀门厂厂长助理，开封高压阀门有限公司副总经理。</w:t>
      </w:r>
      <w:r>
        <w:rPr>
          <w:rFonts w:hint="default" w:eastAsia="Times New Roman"/>
          <w:color w:val="auto"/>
          <w:sz w:val="18"/>
          <w:szCs w:val="24"/>
          <w:lang w:val="zh-CN"/>
        </w:rPr>
        <w:t>2004</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月至今，担任中国通用机械工业协会副秘书长、中国通用机械工业协会阀门分会副理事长兼秘书长。</w:t>
      </w:r>
      <w:r>
        <w:rPr>
          <w:rFonts w:hint="default" w:eastAsia="Times New Roman"/>
          <w:color w:val="auto"/>
          <w:sz w:val="18"/>
          <w:szCs w:val="24"/>
          <w:lang w:val="zh-CN"/>
        </w:rPr>
        <w:t>2012</w:t>
      </w:r>
      <w:r>
        <w:rPr>
          <w:rFonts w:hint="eastAsia" w:ascii="宋体" w:hAnsi="宋体" w:cs="宋体"/>
          <w:color w:val="auto"/>
          <w:sz w:val="18"/>
          <w:szCs w:val="24"/>
          <w:lang w:val="zh-CN"/>
        </w:rPr>
        <w:t>年至</w:t>
      </w:r>
      <w:r>
        <w:rPr>
          <w:rFonts w:hint="default" w:eastAsia="Times New Roman"/>
          <w:color w:val="auto"/>
          <w:sz w:val="18"/>
          <w:szCs w:val="24"/>
          <w:lang w:val="zh-CN"/>
        </w:rPr>
        <w:t xml:space="preserve"> 2013</w:t>
      </w:r>
      <w:r>
        <w:rPr>
          <w:rFonts w:hint="eastAsia" w:ascii="宋体" w:hAnsi="宋体" w:cs="宋体"/>
          <w:color w:val="auto"/>
          <w:sz w:val="18"/>
          <w:szCs w:val="24"/>
          <w:lang w:val="zh-CN"/>
        </w:rPr>
        <w:t>年，兼任四川禾嘉股份有限公司独立董事；</w:t>
      </w:r>
      <w:r>
        <w:rPr>
          <w:rFonts w:hint="default" w:eastAsia="Times New Roman"/>
          <w:color w:val="auto"/>
          <w:sz w:val="18"/>
          <w:szCs w:val="24"/>
          <w:lang w:val="zh-CN"/>
        </w:rPr>
        <w:t>2012</w:t>
      </w:r>
      <w:r>
        <w:rPr>
          <w:rFonts w:hint="eastAsia" w:ascii="宋体" w:hAnsi="宋体" w:cs="宋体"/>
          <w:color w:val="auto"/>
          <w:sz w:val="18"/>
          <w:szCs w:val="24"/>
          <w:lang w:val="zh-CN"/>
        </w:rPr>
        <w:t>年至</w:t>
      </w:r>
      <w:r>
        <w:rPr>
          <w:rFonts w:hint="default" w:eastAsia="Times New Roman"/>
          <w:color w:val="auto"/>
          <w:sz w:val="18"/>
          <w:szCs w:val="24"/>
          <w:lang w:val="zh-CN"/>
        </w:rPr>
        <w:t>2015</w:t>
      </w:r>
      <w:r>
        <w:rPr>
          <w:rFonts w:hint="eastAsia" w:ascii="宋体" w:hAnsi="宋体" w:cs="宋体"/>
          <w:color w:val="auto"/>
          <w:sz w:val="18"/>
          <w:szCs w:val="24"/>
          <w:lang w:val="zh-CN"/>
        </w:rPr>
        <w:t>年，兼任江苏神通阀门股份有限公司独立董事；</w:t>
      </w:r>
      <w:r>
        <w:rPr>
          <w:rFonts w:hint="default" w:eastAsia="Times New Roman"/>
          <w:color w:val="auto"/>
          <w:sz w:val="18"/>
          <w:szCs w:val="24"/>
          <w:lang w:val="zh-CN"/>
        </w:rPr>
        <w:t>2018</w:t>
      </w:r>
      <w:r>
        <w:rPr>
          <w:rFonts w:hint="eastAsia" w:ascii="宋体" w:hAnsi="宋体" w:cs="宋体"/>
          <w:color w:val="auto"/>
          <w:sz w:val="18"/>
          <w:szCs w:val="24"/>
          <w:lang w:val="zh-CN"/>
        </w:rPr>
        <w:t>年至今，兼任青岛伟隆阀门股份有限公司独立董事；</w:t>
      </w:r>
      <w:r>
        <w:rPr>
          <w:rFonts w:hint="default" w:eastAsia="Times New Roman"/>
          <w:color w:val="auto"/>
          <w:sz w:val="18"/>
          <w:szCs w:val="24"/>
          <w:lang w:val="zh-CN"/>
        </w:rPr>
        <w:t>2014</w:t>
      </w:r>
      <w:r>
        <w:rPr>
          <w:rFonts w:hint="eastAsia" w:ascii="宋体" w:hAnsi="宋体" w:cs="宋体"/>
          <w:color w:val="auto"/>
          <w:sz w:val="18"/>
          <w:szCs w:val="24"/>
          <w:lang w:val="zh-CN"/>
        </w:rPr>
        <w:t>年至今，兼任兰州理工大学客座教授</w:t>
      </w:r>
      <w:r>
        <w:rPr>
          <w:rFonts w:hint="default" w:eastAsia="Times New Roman"/>
          <w:color w:val="auto"/>
          <w:sz w:val="18"/>
          <w:szCs w:val="24"/>
          <w:lang w:val="zh-CN"/>
        </w:rPr>
        <w:t xml:space="preserve"> </w:t>
      </w:r>
      <w:r>
        <w:rPr>
          <w:rFonts w:hint="eastAsia" w:ascii="宋体" w:hAnsi="宋体" w:cs="宋体"/>
          <w:color w:val="auto"/>
          <w:sz w:val="18"/>
          <w:szCs w:val="24"/>
          <w:lang w:val="zh-CN"/>
        </w:rPr>
        <w:t>硕士生导师；</w:t>
      </w:r>
      <w:r>
        <w:rPr>
          <w:rFonts w:hint="default" w:eastAsia="Times New Roman"/>
          <w:color w:val="auto"/>
          <w:sz w:val="18"/>
          <w:szCs w:val="24"/>
          <w:lang w:val="zh-CN"/>
        </w:rPr>
        <w:t>2016</w:t>
      </w:r>
      <w:r>
        <w:rPr>
          <w:rFonts w:hint="eastAsia" w:ascii="宋体" w:hAnsi="宋体" w:cs="宋体"/>
          <w:color w:val="auto"/>
          <w:sz w:val="18"/>
          <w:szCs w:val="24"/>
          <w:lang w:val="zh-CN"/>
        </w:rPr>
        <w:t>年至今，兼任全国阀门技术标准委员会委员。</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8</w:t>
      </w:r>
      <w:r>
        <w:rPr>
          <w:rFonts w:hint="eastAsia" w:ascii="宋体" w:hAnsi="宋体" w:cs="宋体"/>
          <w:color w:val="auto"/>
          <w:sz w:val="18"/>
          <w:szCs w:val="24"/>
          <w:lang w:val="zh-CN"/>
        </w:rPr>
        <w:t>、于春红女士，中国国籍，无境外永久居留权，</w:t>
      </w:r>
      <w:r>
        <w:rPr>
          <w:rFonts w:hint="default" w:eastAsia="Times New Roman"/>
          <w:color w:val="auto"/>
          <w:sz w:val="18"/>
          <w:szCs w:val="24"/>
          <w:lang w:val="zh-CN"/>
        </w:rPr>
        <w:t>1980</w:t>
      </w:r>
      <w:r>
        <w:rPr>
          <w:rFonts w:hint="eastAsia" w:ascii="宋体" w:hAnsi="宋体" w:cs="宋体"/>
          <w:color w:val="auto"/>
          <w:sz w:val="18"/>
          <w:szCs w:val="24"/>
          <w:lang w:val="zh-CN"/>
        </w:rPr>
        <w:t>年</w:t>
      </w:r>
      <w:r>
        <w:rPr>
          <w:rFonts w:hint="default" w:eastAsia="Times New Roman"/>
          <w:color w:val="auto"/>
          <w:sz w:val="18"/>
          <w:szCs w:val="24"/>
          <w:lang w:val="zh-CN"/>
        </w:rPr>
        <w:t>6</w:t>
      </w:r>
      <w:r>
        <w:rPr>
          <w:rFonts w:hint="eastAsia" w:ascii="宋体" w:hAnsi="宋体" w:cs="宋体"/>
          <w:color w:val="auto"/>
          <w:sz w:val="18"/>
          <w:szCs w:val="24"/>
          <w:lang w:val="zh-CN"/>
        </w:rPr>
        <w:t>月出生，本科学历。</w:t>
      </w:r>
      <w:r>
        <w:rPr>
          <w:rFonts w:hint="default" w:eastAsia="Times New Roman"/>
          <w:color w:val="auto"/>
          <w:sz w:val="18"/>
          <w:szCs w:val="24"/>
          <w:lang w:val="zh-CN"/>
        </w:rPr>
        <w:t>2011</w:t>
      </w:r>
      <w:r>
        <w:rPr>
          <w:rFonts w:hint="eastAsia" w:ascii="宋体" w:hAnsi="宋体" w:cs="宋体"/>
          <w:color w:val="auto"/>
          <w:sz w:val="18"/>
          <w:szCs w:val="24"/>
          <w:lang w:val="zh-CN"/>
        </w:rPr>
        <w:t>年毕业于青岛大学人力资源管理专业。</w:t>
      </w:r>
      <w:r>
        <w:rPr>
          <w:rFonts w:hint="default" w:eastAsia="Times New Roman"/>
          <w:color w:val="auto"/>
          <w:sz w:val="18"/>
          <w:szCs w:val="24"/>
          <w:lang w:val="zh-CN"/>
        </w:rPr>
        <w:t>2004</w:t>
      </w:r>
      <w:r>
        <w:rPr>
          <w:rFonts w:hint="eastAsia" w:ascii="宋体" w:hAnsi="宋体" w:cs="宋体"/>
          <w:color w:val="auto"/>
          <w:sz w:val="18"/>
          <w:szCs w:val="24"/>
          <w:lang w:val="zh-CN"/>
        </w:rPr>
        <w:t>年参加工作在青岛环海木制品有限公司任职行政助理；</w:t>
      </w:r>
      <w:r>
        <w:rPr>
          <w:rFonts w:hint="default" w:eastAsia="Times New Roman"/>
          <w:color w:val="auto"/>
          <w:sz w:val="18"/>
          <w:szCs w:val="24"/>
          <w:lang w:val="zh-CN"/>
        </w:rPr>
        <w:t>2010</w:t>
      </w:r>
      <w:r>
        <w:rPr>
          <w:rFonts w:hint="eastAsia" w:ascii="宋体" w:hAnsi="宋体" w:cs="宋体"/>
          <w:color w:val="auto"/>
          <w:sz w:val="18"/>
          <w:szCs w:val="24"/>
          <w:lang w:val="zh-CN"/>
        </w:rPr>
        <w:t>年在青岛三鼎橡塑有限公司任人事专员，</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月至今任青岛伟隆阀门股份有限公司人力资源部人事专员。</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9</w:t>
      </w:r>
      <w:r>
        <w:rPr>
          <w:rFonts w:hint="eastAsia" w:ascii="宋体" w:hAnsi="宋体" w:cs="宋体"/>
          <w:color w:val="auto"/>
          <w:sz w:val="18"/>
          <w:szCs w:val="24"/>
          <w:lang w:val="zh-CN"/>
        </w:rPr>
        <w:t>、张涛先生，中国国籍，无境外永久居留权，</w:t>
      </w:r>
      <w:r>
        <w:rPr>
          <w:rFonts w:hint="default" w:eastAsia="Times New Roman"/>
          <w:color w:val="auto"/>
          <w:sz w:val="18"/>
          <w:szCs w:val="24"/>
          <w:lang w:val="zh-CN"/>
        </w:rPr>
        <w:t>1994</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月出生，大专学历。</w:t>
      </w:r>
      <w:r>
        <w:rPr>
          <w:rFonts w:hint="default" w:eastAsia="Times New Roman"/>
          <w:color w:val="auto"/>
          <w:sz w:val="18"/>
          <w:szCs w:val="24"/>
          <w:lang w:val="zh-CN"/>
        </w:rPr>
        <w:t>2016</w:t>
      </w:r>
      <w:r>
        <w:rPr>
          <w:rFonts w:hint="eastAsia" w:ascii="宋体" w:hAnsi="宋体" w:cs="宋体"/>
          <w:color w:val="auto"/>
          <w:sz w:val="18"/>
          <w:szCs w:val="24"/>
          <w:lang w:val="zh-CN"/>
        </w:rPr>
        <w:t>年毕业于潍坊学院会计与统计核算专业。</w:t>
      </w:r>
      <w:r>
        <w:rPr>
          <w:rFonts w:hint="default" w:eastAsia="Times New Roman"/>
          <w:color w:val="auto"/>
          <w:sz w:val="18"/>
          <w:szCs w:val="24"/>
          <w:lang w:val="zh-CN"/>
        </w:rPr>
        <w:t>2016</w:t>
      </w:r>
      <w:r>
        <w:rPr>
          <w:rFonts w:hint="eastAsia" w:ascii="宋体" w:hAnsi="宋体" w:cs="宋体"/>
          <w:color w:val="auto"/>
          <w:sz w:val="18"/>
          <w:szCs w:val="24"/>
          <w:lang w:val="zh-CN"/>
        </w:rPr>
        <w:t>年参加工作在青岛相欣和融企业管理策划有限公司任电商专员；</w:t>
      </w:r>
      <w:r>
        <w:rPr>
          <w:rFonts w:hint="default" w:eastAsia="Times New Roman"/>
          <w:color w:val="auto"/>
          <w:sz w:val="18"/>
          <w:szCs w:val="24"/>
          <w:lang w:val="zh-CN"/>
        </w:rPr>
        <w:t>2017</w:t>
      </w:r>
      <w:r>
        <w:rPr>
          <w:rFonts w:hint="eastAsia" w:ascii="宋体" w:hAnsi="宋体" w:cs="宋体"/>
          <w:color w:val="auto"/>
          <w:sz w:val="18"/>
          <w:szCs w:val="24"/>
          <w:lang w:val="zh-CN"/>
        </w:rPr>
        <w:t>年在青岛海康水产发展有限公司任统计员；</w:t>
      </w:r>
      <w:r>
        <w:rPr>
          <w:rFonts w:hint="default" w:eastAsia="Times New Roman"/>
          <w:color w:val="auto"/>
          <w:sz w:val="18"/>
          <w:szCs w:val="24"/>
          <w:lang w:val="zh-CN"/>
        </w:rPr>
        <w:t>2017</w:t>
      </w:r>
      <w:r>
        <w:rPr>
          <w:rFonts w:hint="eastAsia" w:ascii="宋体" w:hAnsi="宋体" w:cs="宋体"/>
          <w:color w:val="auto"/>
          <w:sz w:val="18"/>
          <w:szCs w:val="24"/>
          <w:lang w:val="zh-CN"/>
        </w:rPr>
        <w:t>年</w:t>
      </w:r>
      <w:r>
        <w:rPr>
          <w:rFonts w:hint="default" w:eastAsia="Times New Roman"/>
          <w:color w:val="auto"/>
          <w:sz w:val="18"/>
          <w:szCs w:val="24"/>
          <w:lang w:val="zh-CN"/>
        </w:rPr>
        <w:t>6</w:t>
      </w:r>
      <w:r>
        <w:rPr>
          <w:rFonts w:hint="eastAsia" w:ascii="宋体" w:hAnsi="宋体" w:cs="宋体"/>
          <w:color w:val="auto"/>
          <w:sz w:val="18"/>
          <w:szCs w:val="24"/>
          <w:lang w:val="zh-CN"/>
        </w:rPr>
        <w:t>月至今任青岛伟隆阀门股份有限公司审计监督部审计员。</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10</w:t>
      </w:r>
      <w:r>
        <w:rPr>
          <w:rFonts w:hint="eastAsia" w:ascii="宋体" w:hAnsi="宋体" w:cs="宋体"/>
          <w:color w:val="auto"/>
          <w:sz w:val="18"/>
          <w:szCs w:val="24"/>
          <w:lang w:val="zh-CN"/>
        </w:rPr>
        <w:t>、王凤春女士，中国国籍，无境外永久居留权，</w:t>
      </w:r>
      <w:r>
        <w:rPr>
          <w:rFonts w:hint="default" w:eastAsia="Times New Roman"/>
          <w:color w:val="auto"/>
          <w:sz w:val="18"/>
          <w:szCs w:val="24"/>
          <w:lang w:val="zh-CN"/>
        </w:rPr>
        <w:t>1980</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月出生，研究生学历。</w:t>
      </w:r>
      <w:r>
        <w:rPr>
          <w:rFonts w:hint="default" w:eastAsia="Times New Roman"/>
          <w:color w:val="auto"/>
          <w:sz w:val="18"/>
          <w:szCs w:val="24"/>
          <w:lang w:val="zh-CN"/>
        </w:rPr>
        <w:t>2004</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w:t>
      </w:r>
      <w:r>
        <w:rPr>
          <w:rFonts w:hint="default" w:eastAsia="Times New Roman"/>
          <w:color w:val="auto"/>
          <w:sz w:val="18"/>
          <w:szCs w:val="24"/>
          <w:lang w:val="zh-CN"/>
        </w:rPr>
        <w:t>-2007</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月，曲阜师范大学，研究生；</w:t>
      </w:r>
      <w:r>
        <w:rPr>
          <w:rFonts w:hint="default" w:eastAsia="Times New Roman"/>
          <w:color w:val="auto"/>
          <w:sz w:val="18"/>
          <w:szCs w:val="24"/>
          <w:lang w:val="zh-CN"/>
        </w:rPr>
        <w:t>2007</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w:t>
      </w:r>
      <w:r>
        <w:rPr>
          <w:rFonts w:hint="default" w:eastAsia="Times New Roman"/>
          <w:color w:val="auto"/>
          <w:sz w:val="18"/>
          <w:szCs w:val="24"/>
          <w:lang w:val="zh-CN"/>
        </w:rPr>
        <w:t>-2013</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月，青岛飞洋职业技术学院，教务处副处长、大学讲师；</w:t>
      </w:r>
      <w:r>
        <w:rPr>
          <w:rFonts w:hint="default" w:eastAsia="Times New Roman"/>
          <w:color w:val="auto"/>
          <w:sz w:val="18"/>
          <w:szCs w:val="24"/>
          <w:lang w:val="zh-CN"/>
        </w:rPr>
        <w:t>2013</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月至今，青岛伟隆阀门股份有限公司品管部职员。</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11</w:t>
      </w:r>
      <w:r>
        <w:rPr>
          <w:rFonts w:hint="eastAsia" w:ascii="宋体" w:hAnsi="宋体" w:cs="宋体"/>
          <w:color w:val="auto"/>
          <w:sz w:val="18"/>
          <w:szCs w:val="24"/>
          <w:lang w:val="zh-CN"/>
        </w:rPr>
        <w:t>、刘克平先生，男，汉族，</w:t>
      </w:r>
      <w:r>
        <w:rPr>
          <w:rFonts w:hint="default" w:eastAsia="Times New Roman"/>
          <w:color w:val="auto"/>
          <w:sz w:val="18"/>
          <w:szCs w:val="24"/>
          <w:lang w:val="zh-CN"/>
        </w:rPr>
        <w:t>1962</w:t>
      </w:r>
      <w:r>
        <w:rPr>
          <w:rFonts w:hint="eastAsia" w:ascii="宋体" w:hAnsi="宋体" w:cs="宋体"/>
          <w:color w:val="auto"/>
          <w:sz w:val="18"/>
          <w:szCs w:val="24"/>
          <w:lang w:val="zh-CN"/>
        </w:rPr>
        <w:t>年生，中国国籍，无境外永久居留权，本科学历，高级工程师。</w:t>
      </w:r>
      <w:r>
        <w:rPr>
          <w:rFonts w:hint="default" w:eastAsia="Times New Roman"/>
          <w:color w:val="auto"/>
          <w:sz w:val="18"/>
          <w:szCs w:val="24"/>
          <w:lang w:val="zh-CN"/>
        </w:rPr>
        <w:t>1983</w:t>
      </w:r>
      <w:r>
        <w:rPr>
          <w:rFonts w:hint="eastAsia" w:ascii="宋体" w:hAnsi="宋体" w:cs="宋体"/>
          <w:color w:val="auto"/>
          <w:sz w:val="18"/>
          <w:szCs w:val="24"/>
          <w:lang w:val="zh-CN"/>
        </w:rPr>
        <w:t>年至</w:t>
      </w:r>
      <w:r>
        <w:rPr>
          <w:rFonts w:hint="default" w:eastAsia="Times New Roman"/>
          <w:color w:val="auto"/>
          <w:sz w:val="18"/>
          <w:szCs w:val="24"/>
          <w:lang w:val="zh-CN"/>
        </w:rPr>
        <w:t>1997</w:t>
      </w:r>
      <w:r>
        <w:rPr>
          <w:rFonts w:hint="eastAsia" w:ascii="宋体" w:hAnsi="宋体" w:cs="宋体"/>
          <w:color w:val="auto"/>
          <w:sz w:val="18"/>
          <w:szCs w:val="24"/>
          <w:lang w:val="zh-CN"/>
        </w:rPr>
        <w:t>年历任吉林省白河林业局工程师、科长、厂长、副总经理等职务；</w:t>
      </w:r>
      <w:r>
        <w:rPr>
          <w:rFonts w:hint="default" w:eastAsia="Times New Roman"/>
          <w:color w:val="auto"/>
          <w:sz w:val="18"/>
          <w:szCs w:val="24"/>
          <w:lang w:val="zh-CN"/>
        </w:rPr>
        <w:t>1997</w:t>
      </w:r>
      <w:r>
        <w:rPr>
          <w:rFonts w:hint="eastAsia" w:ascii="宋体" w:hAnsi="宋体" w:cs="宋体"/>
          <w:color w:val="auto"/>
          <w:sz w:val="18"/>
          <w:szCs w:val="24"/>
          <w:lang w:val="zh-CN"/>
        </w:rPr>
        <w:t>年至</w:t>
      </w:r>
      <w:r>
        <w:rPr>
          <w:rFonts w:hint="default" w:eastAsia="Times New Roman"/>
          <w:color w:val="auto"/>
          <w:sz w:val="18"/>
          <w:szCs w:val="24"/>
          <w:lang w:val="zh-CN"/>
        </w:rPr>
        <w:t>2000</w:t>
      </w:r>
      <w:r>
        <w:rPr>
          <w:rFonts w:hint="eastAsia" w:ascii="宋体" w:hAnsi="宋体" w:cs="宋体"/>
          <w:color w:val="auto"/>
          <w:sz w:val="18"/>
          <w:szCs w:val="24"/>
          <w:lang w:val="zh-CN"/>
        </w:rPr>
        <w:t>年历任山东潍坊宝玉石公司办公室主任、副总经理等职务；</w:t>
      </w:r>
      <w:r>
        <w:rPr>
          <w:rFonts w:hint="default" w:eastAsia="Times New Roman"/>
          <w:color w:val="auto"/>
          <w:sz w:val="18"/>
          <w:szCs w:val="24"/>
          <w:lang w:val="zh-CN"/>
        </w:rPr>
        <w:t>2000</w:t>
      </w:r>
      <w:r>
        <w:rPr>
          <w:rFonts w:hint="eastAsia" w:ascii="宋体" w:hAnsi="宋体" w:cs="宋体"/>
          <w:color w:val="auto"/>
          <w:sz w:val="18"/>
          <w:szCs w:val="24"/>
          <w:lang w:val="zh-CN"/>
        </w:rPr>
        <w:t>年至</w:t>
      </w:r>
      <w:r>
        <w:rPr>
          <w:rFonts w:hint="default" w:eastAsia="Times New Roman"/>
          <w:color w:val="auto"/>
          <w:sz w:val="18"/>
          <w:szCs w:val="24"/>
          <w:lang w:val="zh-CN"/>
        </w:rPr>
        <w:t>2007</w:t>
      </w:r>
      <w:r>
        <w:rPr>
          <w:rFonts w:hint="eastAsia" w:ascii="宋体" w:hAnsi="宋体" w:cs="宋体"/>
          <w:color w:val="auto"/>
          <w:sz w:val="18"/>
          <w:szCs w:val="24"/>
          <w:lang w:val="zh-CN"/>
        </w:rPr>
        <w:t>年历任青岛三利集团有限公司部长、副总经理等职务；</w:t>
      </w:r>
      <w:r>
        <w:rPr>
          <w:rFonts w:hint="default" w:eastAsia="Times New Roman"/>
          <w:color w:val="auto"/>
          <w:sz w:val="18"/>
          <w:szCs w:val="24"/>
          <w:lang w:val="zh-CN"/>
        </w:rPr>
        <w:t>2008</w:t>
      </w:r>
      <w:r>
        <w:rPr>
          <w:rFonts w:hint="eastAsia" w:ascii="宋体" w:hAnsi="宋体" w:cs="宋体"/>
          <w:color w:val="auto"/>
          <w:sz w:val="18"/>
          <w:szCs w:val="24"/>
          <w:lang w:val="zh-CN"/>
        </w:rPr>
        <w:t>年至</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月历任青岛伟隆阀门有限公司副部长、部长等职务；</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月任青岛伟隆阀门股份有限公司副总经理兼董事会秘书。</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月至今任本公司副总经理兼董事会秘书。</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12</w:t>
      </w:r>
      <w:r>
        <w:rPr>
          <w:rFonts w:hint="eastAsia" w:ascii="宋体" w:hAnsi="宋体" w:cs="宋体"/>
          <w:color w:val="auto"/>
          <w:sz w:val="18"/>
          <w:szCs w:val="24"/>
          <w:lang w:val="zh-CN"/>
        </w:rPr>
        <w:t>、高峰先生，男，汉族，</w:t>
      </w:r>
      <w:r>
        <w:rPr>
          <w:rFonts w:hint="default" w:eastAsia="Times New Roman"/>
          <w:color w:val="auto"/>
          <w:sz w:val="18"/>
          <w:szCs w:val="24"/>
          <w:lang w:val="zh-CN"/>
        </w:rPr>
        <w:t>1974</w:t>
      </w:r>
      <w:r>
        <w:rPr>
          <w:rFonts w:hint="eastAsia" w:ascii="宋体" w:hAnsi="宋体" w:cs="宋体"/>
          <w:color w:val="auto"/>
          <w:sz w:val="18"/>
          <w:szCs w:val="24"/>
          <w:lang w:val="zh-CN"/>
        </w:rPr>
        <w:t>年生，中国国籍，无境外永久居留权，大专学历。</w:t>
      </w:r>
      <w:r>
        <w:rPr>
          <w:rFonts w:hint="default" w:eastAsia="Times New Roman"/>
          <w:color w:val="auto"/>
          <w:sz w:val="18"/>
          <w:szCs w:val="24"/>
          <w:lang w:val="zh-CN"/>
        </w:rPr>
        <w:t>2000</w:t>
      </w:r>
      <w:r>
        <w:rPr>
          <w:rFonts w:hint="eastAsia" w:ascii="宋体" w:hAnsi="宋体" w:cs="宋体"/>
          <w:color w:val="auto"/>
          <w:sz w:val="18"/>
          <w:szCs w:val="24"/>
          <w:lang w:val="zh-CN"/>
        </w:rPr>
        <w:t>年至</w:t>
      </w:r>
      <w:r>
        <w:rPr>
          <w:rFonts w:hint="default" w:eastAsia="Times New Roman"/>
          <w:color w:val="auto"/>
          <w:sz w:val="18"/>
          <w:szCs w:val="24"/>
          <w:lang w:val="zh-CN"/>
        </w:rPr>
        <w:t>2004</w:t>
      </w:r>
      <w:r>
        <w:rPr>
          <w:rFonts w:hint="eastAsia" w:ascii="宋体" w:hAnsi="宋体" w:cs="宋体"/>
          <w:color w:val="auto"/>
          <w:sz w:val="18"/>
          <w:szCs w:val="24"/>
          <w:lang w:val="zh-CN"/>
        </w:rPr>
        <w:t>年任青岛海信电器股份有限公司区域经理；</w:t>
      </w:r>
      <w:r>
        <w:rPr>
          <w:rFonts w:hint="default" w:eastAsia="Times New Roman"/>
          <w:color w:val="auto"/>
          <w:sz w:val="18"/>
          <w:szCs w:val="24"/>
          <w:lang w:val="zh-CN"/>
        </w:rPr>
        <w:t>2004</w:t>
      </w:r>
      <w:r>
        <w:rPr>
          <w:rFonts w:hint="eastAsia" w:ascii="宋体" w:hAnsi="宋体" w:cs="宋体"/>
          <w:color w:val="auto"/>
          <w:sz w:val="18"/>
          <w:szCs w:val="24"/>
          <w:lang w:val="zh-CN"/>
        </w:rPr>
        <w:t>年至</w:t>
      </w:r>
      <w:r>
        <w:rPr>
          <w:rFonts w:hint="default" w:eastAsia="Times New Roman"/>
          <w:color w:val="auto"/>
          <w:sz w:val="18"/>
          <w:szCs w:val="24"/>
          <w:lang w:val="zh-CN"/>
        </w:rPr>
        <w:t>2008</w:t>
      </w:r>
      <w:r>
        <w:rPr>
          <w:rFonts w:hint="eastAsia" w:ascii="宋体" w:hAnsi="宋体" w:cs="宋体"/>
          <w:color w:val="auto"/>
          <w:sz w:val="18"/>
          <w:szCs w:val="24"/>
          <w:lang w:val="zh-CN"/>
        </w:rPr>
        <w:t>年任山东蜂星电讯有限公司分公司总经理；</w:t>
      </w:r>
      <w:r>
        <w:rPr>
          <w:rFonts w:hint="default" w:eastAsia="Times New Roman"/>
          <w:color w:val="auto"/>
          <w:sz w:val="18"/>
          <w:szCs w:val="24"/>
          <w:lang w:val="zh-CN"/>
        </w:rPr>
        <w:t>2008</w:t>
      </w:r>
      <w:r>
        <w:rPr>
          <w:rFonts w:hint="eastAsia" w:ascii="宋体" w:hAnsi="宋体" w:cs="宋体"/>
          <w:color w:val="auto"/>
          <w:sz w:val="18"/>
          <w:szCs w:val="24"/>
          <w:lang w:val="zh-CN"/>
        </w:rPr>
        <w:t>年至</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月任青岛伟隆阀门有限公司副总经理；</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月任青岛伟隆阀门股份有限公司副总经理。</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月至今任本公司副总经理。</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13</w:t>
      </w:r>
      <w:r>
        <w:rPr>
          <w:rFonts w:hint="eastAsia" w:ascii="宋体" w:hAnsi="宋体" w:cs="宋体"/>
          <w:color w:val="auto"/>
          <w:sz w:val="18"/>
          <w:szCs w:val="24"/>
          <w:lang w:val="zh-CN"/>
        </w:rPr>
        <w:t>、郭成尼先生，男，汉族，</w:t>
      </w:r>
      <w:r>
        <w:rPr>
          <w:rFonts w:hint="default" w:eastAsia="Times New Roman"/>
          <w:color w:val="auto"/>
          <w:sz w:val="18"/>
          <w:szCs w:val="24"/>
          <w:lang w:val="zh-CN"/>
        </w:rPr>
        <w:t>1969</w:t>
      </w:r>
      <w:r>
        <w:rPr>
          <w:rFonts w:hint="eastAsia" w:ascii="宋体" w:hAnsi="宋体" w:cs="宋体"/>
          <w:color w:val="auto"/>
          <w:sz w:val="18"/>
          <w:szCs w:val="24"/>
          <w:lang w:val="zh-CN"/>
        </w:rPr>
        <w:t>年生，中国国籍，无境外永久居留权，大专学历。</w:t>
      </w:r>
      <w:r>
        <w:rPr>
          <w:rFonts w:hint="default" w:eastAsia="Times New Roman"/>
          <w:color w:val="auto"/>
          <w:sz w:val="18"/>
          <w:szCs w:val="24"/>
          <w:lang w:val="zh-CN"/>
        </w:rPr>
        <w:t>1989</w:t>
      </w:r>
      <w:r>
        <w:rPr>
          <w:rFonts w:hint="eastAsia" w:ascii="宋体" w:hAnsi="宋体" w:cs="宋体"/>
          <w:color w:val="auto"/>
          <w:sz w:val="18"/>
          <w:szCs w:val="24"/>
          <w:lang w:val="zh-CN"/>
        </w:rPr>
        <w:t>年至</w:t>
      </w:r>
      <w:r>
        <w:rPr>
          <w:rFonts w:hint="default" w:eastAsia="Times New Roman"/>
          <w:color w:val="auto"/>
          <w:sz w:val="18"/>
          <w:szCs w:val="24"/>
          <w:lang w:val="zh-CN"/>
        </w:rPr>
        <w:t>1992</w:t>
      </w:r>
      <w:r>
        <w:rPr>
          <w:rFonts w:hint="eastAsia" w:ascii="宋体" w:hAnsi="宋体" w:cs="宋体"/>
          <w:color w:val="auto"/>
          <w:sz w:val="18"/>
          <w:szCs w:val="24"/>
          <w:lang w:val="zh-CN"/>
        </w:rPr>
        <w:t>年任青岛市八大关宾馆职员；</w:t>
      </w:r>
      <w:r>
        <w:rPr>
          <w:rFonts w:hint="default" w:eastAsia="Times New Roman"/>
          <w:color w:val="auto"/>
          <w:sz w:val="18"/>
          <w:szCs w:val="24"/>
          <w:lang w:val="zh-CN"/>
        </w:rPr>
        <w:t>1993</w:t>
      </w:r>
      <w:r>
        <w:rPr>
          <w:rFonts w:hint="eastAsia" w:ascii="宋体" w:hAnsi="宋体" w:cs="宋体"/>
          <w:color w:val="auto"/>
          <w:sz w:val="18"/>
          <w:szCs w:val="24"/>
          <w:lang w:val="zh-CN"/>
        </w:rPr>
        <w:t>年至</w:t>
      </w:r>
      <w:r>
        <w:rPr>
          <w:rFonts w:hint="default" w:eastAsia="Times New Roman"/>
          <w:color w:val="auto"/>
          <w:sz w:val="18"/>
          <w:szCs w:val="24"/>
          <w:lang w:val="zh-CN"/>
        </w:rPr>
        <w:t>1994</w:t>
      </w:r>
      <w:r>
        <w:rPr>
          <w:rFonts w:hint="eastAsia" w:ascii="宋体" w:hAnsi="宋体" w:cs="宋体"/>
          <w:color w:val="auto"/>
          <w:sz w:val="18"/>
          <w:szCs w:val="24"/>
          <w:lang w:val="zh-CN"/>
        </w:rPr>
        <w:t>年任崂山工具厂销售经理；</w:t>
      </w:r>
      <w:r>
        <w:rPr>
          <w:rFonts w:hint="default" w:eastAsia="Times New Roman"/>
          <w:color w:val="auto"/>
          <w:sz w:val="18"/>
          <w:szCs w:val="24"/>
          <w:lang w:val="zh-CN"/>
        </w:rPr>
        <w:t>1995</w:t>
      </w:r>
      <w:r>
        <w:rPr>
          <w:rFonts w:hint="eastAsia" w:ascii="宋体" w:hAnsi="宋体" w:cs="宋体"/>
          <w:color w:val="auto"/>
          <w:sz w:val="18"/>
          <w:szCs w:val="24"/>
          <w:lang w:val="zh-CN"/>
        </w:rPr>
        <w:t>年至今历任伟隆经贸、伟隆有限、伟隆阀门部长、销售总监等职务。</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月至今任本公司国际销售总监。售总监等职务。</w:t>
      </w:r>
      <w:r>
        <w:rPr>
          <w:rFonts w:hint="default" w:eastAsia="Times New Roman"/>
          <w:color w:val="auto"/>
          <w:sz w:val="18"/>
          <w:szCs w:val="24"/>
          <w:lang w:val="zh-CN"/>
        </w:rPr>
        <w:t>2015</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w:t>
      </w:r>
      <w:r>
        <w:rPr>
          <w:rFonts w:hint="eastAsia" w:ascii="MS Mincho" w:hAnsi="MS Mincho" w:cs="MS Mincho"/>
          <w:color w:val="auto"/>
          <w:sz w:val="18"/>
          <w:szCs w:val="24"/>
          <w:lang w:val="zh-CN"/>
        </w:rPr>
        <w:t>本</w:t>
      </w:r>
      <w:r>
        <w:rPr>
          <w:rFonts w:hint="eastAsia" w:ascii="宋体" w:hAnsi="宋体" w:cs="宋体"/>
          <w:color w:val="auto"/>
          <w:sz w:val="18"/>
          <w:szCs w:val="24"/>
          <w:lang w:val="zh-CN"/>
        </w:rPr>
        <w:t>公司国际销售总监。</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14</w:t>
      </w:r>
      <w:r>
        <w:rPr>
          <w:rFonts w:hint="eastAsia" w:ascii="宋体" w:hAnsi="宋体" w:cs="宋体"/>
          <w:color w:val="auto"/>
          <w:sz w:val="18"/>
          <w:szCs w:val="24"/>
          <w:lang w:val="zh-CN"/>
        </w:rPr>
        <w:t>、张会亭先生，男，汉族，</w:t>
      </w:r>
      <w:r>
        <w:rPr>
          <w:rFonts w:hint="default" w:eastAsia="Times New Roman"/>
          <w:color w:val="auto"/>
          <w:sz w:val="18"/>
          <w:szCs w:val="24"/>
          <w:lang w:val="zh-CN"/>
        </w:rPr>
        <w:t>1966</w:t>
      </w:r>
      <w:r>
        <w:rPr>
          <w:rFonts w:hint="eastAsia" w:ascii="宋体" w:hAnsi="宋体" w:cs="宋体"/>
          <w:color w:val="auto"/>
          <w:sz w:val="18"/>
          <w:szCs w:val="24"/>
          <w:lang w:val="zh-CN"/>
        </w:rPr>
        <w:t>年生，中国国籍，无境外永久居留权，</w:t>
      </w:r>
      <w:r>
        <w:rPr>
          <w:rFonts w:hint="eastAsia" w:ascii="MS Mincho" w:hAnsi="MS Mincho" w:cs="MS Mincho"/>
          <w:color w:val="auto"/>
          <w:sz w:val="18"/>
          <w:szCs w:val="24"/>
          <w:lang w:val="zh-CN"/>
        </w:rPr>
        <w:t>本</w:t>
      </w:r>
      <w:r>
        <w:rPr>
          <w:rFonts w:hint="eastAsia" w:ascii="宋体" w:hAnsi="宋体" w:cs="宋体"/>
          <w:color w:val="auto"/>
          <w:sz w:val="18"/>
          <w:szCs w:val="24"/>
          <w:lang w:val="zh-CN"/>
        </w:rPr>
        <w:t>科学历，高级工程师。</w:t>
      </w:r>
      <w:r>
        <w:rPr>
          <w:rFonts w:hint="default" w:eastAsia="Times New Roman"/>
          <w:color w:val="auto"/>
          <w:sz w:val="18"/>
          <w:szCs w:val="24"/>
          <w:lang w:val="zh-CN"/>
        </w:rPr>
        <w:t>1989</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月至</w:t>
      </w:r>
      <w:r>
        <w:rPr>
          <w:rFonts w:hint="default" w:eastAsia="Times New Roman"/>
          <w:color w:val="auto"/>
          <w:sz w:val="18"/>
          <w:szCs w:val="24"/>
          <w:lang w:val="zh-CN"/>
        </w:rPr>
        <w:t>1999</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月任青岛阀门厂工程师；</w:t>
      </w:r>
      <w:r>
        <w:rPr>
          <w:rFonts w:hint="default" w:eastAsia="Times New Roman"/>
          <w:color w:val="auto"/>
          <w:sz w:val="18"/>
          <w:szCs w:val="24"/>
          <w:lang w:val="zh-CN"/>
        </w:rPr>
        <w:t>1999</w:t>
      </w:r>
      <w:r>
        <w:rPr>
          <w:rFonts w:hint="eastAsia" w:ascii="宋体" w:hAnsi="宋体" w:cs="宋体"/>
          <w:color w:val="auto"/>
          <w:sz w:val="18"/>
          <w:szCs w:val="24"/>
          <w:lang w:val="zh-CN"/>
        </w:rPr>
        <w:t>年</w:t>
      </w:r>
      <w:r>
        <w:rPr>
          <w:rFonts w:hint="default" w:eastAsia="Times New Roman"/>
          <w:color w:val="auto"/>
          <w:sz w:val="18"/>
          <w:szCs w:val="24"/>
          <w:lang w:val="zh-CN"/>
        </w:rPr>
        <w:t>5</w:t>
      </w:r>
      <w:r>
        <w:rPr>
          <w:rFonts w:hint="eastAsia" w:ascii="宋体" w:hAnsi="宋体" w:cs="宋体"/>
          <w:color w:val="auto"/>
          <w:sz w:val="18"/>
          <w:szCs w:val="24"/>
          <w:lang w:val="zh-CN"/>
        </w:rPr>
        <w:t>月至</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月历任伟隆经贸、伟隆有限、伟隆阀门部长、研发总监等职务。</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月至今任本公司研发技术总监。</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15</w:t>
      </w:r>
      <w:r>
        <w:rPr>
          <w:rFonts w:hint="eastAsia" w:ascii="宋体" w:hAnsi="宋体" w:cs="宋体"/>
          <w:color w:val="auto"/>
          <w:sz w:val="18"/>
          <w:szCs w:val="24"/>
          <w:lang w:val="zh-CN"/>
        </w:rPr>
        <w:t>、王兆健先生，男，汉族，</w:t>
      </w:r>
      <w:r>
        <w:rPr>
          <w:rFonts w:hint="default" w:eastAsia="Times New Roman"/>
          <w:color w:val="auto"/>
          <w:sz w:val="18"/>
          <w:szCs w:val="24"/>
          <w:lang w:val="zh-CN"/>
        </w:rPr>
        <w:t>1980</w:t>
      </w:r>
      <w:r>
        <w:rPr>
          <w:rFonts w:hint="eastAsia" w:ascii="宋体" w:hAnsi="宋体" w:cs="宋体"/>
          <w:color w:val="auto"/>
          <w:sz w:val="18"/>
          <w:szCs w:val="24"/>
          <w:lang w:val="zh-CN"/>
        </w:rPr>
        <w:t>年生，中国国籍，无境外永久居留权，本科学历。</w:t>
      </w:r>
      <w:r>
        <w:rPr>
          <w:rFonts w:hint="default" w:eastAsia="Times New Roman"/>
          <w:color w:val="auto"/>
          <w:sz w:val="18"/>
          <w:szCs w:val="24"/>
          <w:lang w:val="zh-CN"/>
        </w:rPr>
        <w:t>2005-2009</w:t>
      </w:r>
      <w:r>
        <w:rPr>
          <w:rFonts w:hint="eastAsia" w:ascii="宋体" w:hAnsi="宋体" w:cs="宋体"/>
          <w:color w:val="auto"/>
          <w:sz w:val="18"/>
          <w:szCs w:val="24"/>
          <w:lang w:val="zh-CN"/>
        </w:rPr>
        <w:t>年历任青岛天赢铸锻有限公司质量部班长、质量工程师，</w:t>
      </w:r>
      <w:r>
        <w:rPr>
          <w:rFonts w:hint="default" w:eastAsia="Times New Roman"/>
          <w:color w:val="auto"/>
          <w:sz w:val="18"/>
          <w:szCs w:val="24"/>
          <w:lang w:val="zh-CN"/>
        </w:rPr>
        <w:t>2009-2010</w:t>
      </w:r>
      <w:r>
        <w:rPr>
          <w:rFonts w:hint="eastAsia" w:ascii="宋体" w:hAnsi="宋体" w:cs="宋体"/>
          <w:color w:val="auto"/>
          <w:sz w:val="18"/>
          <w:szCs w:val="24"/>
          <w:lang w:val="zh-CN"/>
        </w:rPr>
        <w:t>年担任贝克曼沃玛（青岛）金属技术有限公司质量工程师、质量主管，</w:t>
      </w:r>
      <w:r>
        <w:rPr>
          <w:rFonts w:hint="default" w:eastAsia="Times New Roman"/>
          <w:color w:val="auto"/>
          <w:sz w:val="18"/>
          <w:szCs w:val="24"/>
          <w:lang w:val="zh-CN"/>
        </w:rPr>
        <w:t>2011</w:t>
      </w:r>
      <w:r>
        <w:rPr>
          <w:rFonts w:hint="eastAsia" w:ascii="宋体" w:hAnsi="宋体" w:cs="宋体"/>
          <w:color w:val="auto"/>
          <w:sz w:val="18"/>
          <w:szCs w:val="24"/>
          <w:lang w:val="zh-CN"/>
        </w:rPr>
        <w:t>年</w:t>
      </w:r>
      <w:r>
        <w:rPr>
          <w:rFonts w:hint="default" w:eastAsia="Times New Roman"/>
          <w:color w:val="auto"/>
          <w:sz w:val="18"/>
          <w:szCs w:val="24"/>
          <w:lang w:val="zh-CN"/>
        </w:rPr>
        <w:t>-2012</w:t>
      </w:r>
      <w:r>
        <w:rPr>
          <w:rFonts w:hint="eastAsia" w:ascii="宋体" w:hAnsi="宋体" w:cs="宋体"/>
          <w:color w:val="auto"/>
          <w:sz w:val="18"/>
          <w:szCs w:val="24"/>
          <w:lang w:val="zh-CN"/>
        </w:rPr>
        <w:t>年担任青岛天摩亚太汽车部件有限公司质量主管，</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月至</w:t>
      </w:r>
      <w:r>
        <w:rPr>
          <w:rFonts w:hint="default" w:eastAsia="Times New Roman"/>
          <w:color w:val="auto"/>
          <w:sz w:val="18"/>
          <w:szCs w:val="24"/>
          <w:lang w:val="zh-CN"/>
        </w:rPr>
        <w:t>2020</w:t>
      </w:r>
      <w:r>
        <w:rPr>
          <w:rFonts w:hint="eastAsia" w:ascii="宋体" w:hAnsi="宋体" w:cs="宋体"/>
          <w:color w:val="auto"/>
          <w:sz w:val="18"/>
          <w:szCs w:val="24"/>
          <w:lang w:val="zh-CN"/>
        </w:rPr>
        <w:t>年</w:t>
      </w:r>
      <w:r>
        <w:rPr>
          <w:rFonts w:hint="default" w:eastAsia="Times New Roman"/>
          <w:color w:val="auto"/>
          <w:sz w:val="18"/>
          <w:szCs w:val="24"/>
          <w:lang w:val="zh-CN"/>
        </w:rPr>
        <w:t>12</w:t>
      </w:r>
      <w:r>
        <w:rPr>
          <w:rFonts w:hint="eastAsia" w:ascii="宋体" w:hAnsi="宋体" w:cs="宋体"/>
          <w:color w:val="auto"/>
          <w:sz w:val="18"/>
          <w:szCs w:val="24"/>
          <w:lang w:val="zh-CN"/>
        </w:rPr>
        <w:t>月历任青岛伟隆阀门股份有限公司副部长、部长。</w:t>
      </w:r>
    </w:p>
    <w:p>
      <w:pPr>
        <w:autoSpaceDE w:val="0"/>
        <w:autoSpaceDN w:val="0"/>
        <w:adjustRightInd w:val="0"/>
        <w:spacing w:before="0" w:beforeLines="0" w:after="0" w:afterLines="0"/>
        <w:jc w:val="left"/>
        <w:rPr>
          <w:rFonts w:hint="default" w:eastAsia="Times New Roman"/>
          <w:color w:val="auto"/>
          <w:sz w:val="18"/>
          <w:szCs w:val="24"/>
          <w:lang w:val="zh-CN"/>
        </w:rPr>
      </w:pPr>
      <w:r>
        <w:rPr>
          <w:rFonts w:hint="default" w:eastAsia="Times New Roman"/>
          <w:color w:val="auto"/>
          <w:sz w:val="18"/>
          <w:szCs w:val="24"/>
          <w:lang w:val="zh-CN"/>
        </w:rPr>
        <w:t>16</w:t>
      </w:r>
      <w:r>
        <w:rPr>
          <w:rFonts w:hint="eastAsia" w:ascii="宋体" w:hAnsi="宋体" w:cs="宋体"/>
          <w:color w:val="auto"/>
          <w:sz w:val="18"/>
          <w:szCs w:val="24"/>
          <w:lang w:val="zh-CN"/>
        </w:rPr>
        <w:t>、渠汇成先生：中国国籍，无境外永久居留权，大专学历。</w:t>
      </w:r>
      <w:r>
        <w:rPr>
          <w:rFonts w:hint="default" w:eastAsia="Times New Roman"/>
          <w:color w:val="auto"/>
          <w:sz w:val="18"/>
          <w:szCs w:val="24"/>
          <w:lang w:val="zh-CN"/>
        </w:rPr>
        <w:t>2002</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月至</w:t>
      </w:r>
      <w:r>
        <w:rPr>
          <w:rFonts w:hint="default" w:eastAsia="Times New Roman"/>
          <w:color w:val="auto"/>
          <w:sz w:val="18"/>
          <w:szCs w:val="24"/>
          <w:lang w:val="zh-CN"/>
        </w:rPr>
        <w:t>2004</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月任伟隆经贸生产部副部长；</w:t>
      </w:r>
      <w:r>
        <w:rPr>
          <w:rFonts w:hint="default" w:eastAsia="Times New Roman"/>
          <w:color w:val="auto"/>
          <w:sz w:val="18"/>
          <w:szCs w:val="24"/>
          <w:lang w:val="zh-CN"/>
        </w:rPr>
        <w:t>2004</w:t>
      </w:r>
      <w:r>
        <w:rPr>
          <w:rFonts w:hint="eastAsia" w:ascii="宋体" w:hAnsi="宋体" w:cs="宋体"/>
          <w:color w:val="auto"/>
          <w:sz w:val="18"/>
          <w:szCs w:val="24"/>
          <w:lang w:val="zh-CN"/>
        </w:rPr>
        <w:t>年</w:t>
      </w:r>
      <w:r>
        <w:rPr>
          <w:rFonts w:hint="default" w:eastAsia="Times New Roman"/>
          <w:color w:val="auto"/>
          <w:sz w:val="18"/>
          <w:szCs w:val="24"/>
          <w:lang w:val="zh-CN"/>
        </w:rPr>
        <w:t>4</w:t>
      </w:r>
      <w:r>
        <w:rPr>
          <w:rFonts w:hint="eastAsia" w:ascii="宋体" w:hAnsi="宋体" w:cs="宋体"/>
          <w:color w:val="auto"/>
          <w:sz w:val="18"/>
          <w:szCs w:val="24"/>
          <w:lang w:val="zh-CN"/>
        </w:rPr>
        <w:t>月至</w:t>
      </w:r>
      <w:r>
        <w:rPr>
          <w:rFonts w:hint="default" w:eastAsia="Times New Roman"/>
          <w:color w:val="auto"/>
          <w:sz w:val="18"/>
          <w:szCs w:val="24"/>
          <w:lang w:val="zh-CN"/>
        </w:rPr>
        <w:t>2016</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月历任伟隆阀门生产部副部长、部长；</w:t>
      </w:r>
      <w:r>
        <w:rPr>
          <w:rFonts w:hint="default" w:eastAsia="Times New Roman"/>
          <w:color w:val="auto"/>
          <w:sz w:val="18"/>
          <w:szCs w:val="24"/>
          <w:lang w:val="zh-CN"/>
        </w:rPr>
        <w:t>2012</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月至</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3</w:t>
      </w:r>
      <w:r>
        <w:rPr>
          <w:rFonts w:hint="eastAsia" w:ascii="宋体" w:hAnsi="宋体" w:cs="宋体"/>
          <w:color w:val="auto"/>
          <w:sz w:val="18"/>
          <w:szCs w:val="24"/>
          <w:lang w:val="zh-CN"/>
        </w:rPr>
        <w:t>月任本公司职工监事、监事会主席；</w:t>
      </w:r>
      <w:r>
        <w:rPr>
          <w:rFonts w:hint="default" w:eastAsia="Times New Roman"/>
          <w:color w:val="auto"/>
          <w:sz w:val="18"/>
          <w:szCs w:val="24"/>
          <w:lang w:val="zh-CN"/>
        </w:rPr>
        <w:t>2016</w:t>
      </w:r>
      <w:r>
        <w:rPr>
          <w:rFonts w:hint="eastAsia" w:ascii="宋体" w:hAnsi="宋体" w:cs="宋体"/>
          <w:color w:val="auto"/>
          <w:sz w:val="18"/>
          <w:szCs w:val="24"/>
          <w:lang w:val="zh-CN"/>
        </w:rPr>
        <w:t>年</w:t>
      </w:r>
      <w:r>
        <w:rPr>
          <w:rFonts w:hint="default" w:eastAsia="Times New Roman"/>
          <w:color w:val="auto"/>
          <w:sz w:val="18"/>
          <w:szCs w:val="24"/>
          <w:lang w:val="zh-CN"/>
        </w:rPr>
        <w:t>9</w:t>
      </w:r>
      <w:r>
        <w:rPr>
          <w:rFonts w:hint="eastAsia" w:ascii="宋体" w:hAnsi="宋体" w:cs="宋体"/>
          <w:color w:val="auto"/>
          <w:sz w:val="18"/>
          <w:szCs w:val="24"/>
          <w:lang w:val="zh-CN"/>
        </w:rPr>
        <w:t>月至</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月任本公司总经理助理；</w:t>
      </w:r>
      <w:r>
        <w:rPr>
          <w:rFonts w:hint="default" w:eastAsia="Times New Roman"/>
          <w:color w:val="auto"/>
          <w:sz w:val="18"/>
          <w:szCs w:val="24"/>
          <w:lang w:val="zh-CN"/>
        </w:rPr>
        <w:t>2018</w:t>
      </w:r>
      <w:r>
        <w:rPr>
          <w:rFonts w:hint="eastAsia" w:ascii="宋体" w:hAnsi="宋体" w:cs="宋体"/>
          <w:color w:val="auto"/>
          <w:sz w:val="18"/>
          <w:szCs w:val="24"/>
          <w:lang w:val="zh-CN"/>
        </w:rPr>
        <w:t>年</w:t>
      </w:r>
      <w:r>
        <w:rPr>
          <w:rFonts w:hint="default" w:eastAsia="Times New Roman"/>
          <w:color w:val="auto"/>
          <w:sz w:val="18"/>
          <w:szCs w:val="24"/>
          <w:lang w:val="zh-CN"/>
        </w:rPr>
        <w:t>7</w:t>
      </w:r>
      <w:r>
        <w:rPr>
          <w:rFonts w:hint="eastAsia" w:ascii="宋体" w:hAnsi="宋体" w:cs="宋体"/>
          <w:color w:val="auto"/>
          <w:sz w:val="18"/>
          <w:szCs w:val="24"/>
          <w:lang w:val="zh-CN"/>
        </w:rPr>
        <w:t>月至今任本公司生产</w:t>
      </w:r>
      <w:r>
        <w:rPr>
          <w:rFonts w:hint="eastAsia" w:ascii="宋体"/>
          <w:color w:val="auto"/>
          <w:sz w:val="18"/>
          <w:szCs w:val="24"/>
          <w:lang w:val="zh-CN"/>
        </w:rPr>
        <w:t>总监。</w:t>
      </w:r>
    </w:p>
    <w:p>
      <w:pPr>
        <w:spacing w:beforeLines="0" w:afterLines="0"/>
        <w:jc w:val="left"/>
        <w:rPr>
          <w:rFonts w:hint="default"/>
          <w:sz w:val="18"/>
          <w:szCs w:val="24"/>
        </w:rPr>
      </w:pPr>
      <w:r>
        <w:rPr>
          <w:rFonts w:hint="eastAsia"/>
          <w:sz w:val="18"/>
          <w:szCs w:val="24"/>
        </w:rPr>
        <w:t>在股东单位任职情况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7"/>
        <w:gridCol w:w="3230"/>
        <w:gridCol w:w="1077"/>
        <w:gridCol w:w="1212"/>
        <w:gridCol w:w="1347"/>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任职人员姓名</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股东单位名称</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在股东单位担任的职务</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任期起始日期</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任期终止日期</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在股东单位是否领取报酬津贴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2011</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崔兴建</w:t>
            </w:r>
          </w:p>
        </w:tc>
        <w:tc>
          <w:tcPr>
            <w:tcW w:w="32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10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2011</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34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14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在股东单位任职情况的说明</w:t>
            </w:r>
          </w:p>
        </w:tc>
        <w:tc>
          <w:tcPr>
            <w:tcW w:w="8351"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在其他单位任职情况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3"/>
        <w:gridCol w:w="3277"/>
        <w:gridCol w:w="1092"/>
        <w:gridCol w:w="1229"/>
        <w:gridCol w:w="1360"/>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任职人员姓名</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其他单位名称</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在其他单位担任的职务</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任期起始日期</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任期终止日期</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在其他单位是否领取报酬津贴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2010</w:t>
            </w:r>
            <w:r>
              <w:rPr>
                <w:rFonts w:hint="eastAsia"/>
                <w:sz w:val="18"/>
                <w:szCs w:val="24"/>
              </w:rPr>
              <w:t>年</w:t>
            </w:r>
            <w:r>
              <w:rPr>
                <w:rFonts w:hint="default"/>
                <w:sz w:val="18"/>
                <w:szCs w:val="24"/>
              </w:rPr>
              <w:t>12</w:t>
            </w:r>
            <w:r>
              <w:rPr>
                <w:rFonts w:hint="eastAsia"/>
                <w:sz w:val="18"/>
                <w:szCs w:val="24"/>
              </w:rPr>
              <w:t>月</w:t>
            </w:r>
            <w:r>
              <w:rPr>
                <w:rFonts w:hint="default"/>
                <w:sz w:val="18"/>
                <w:szCs w:val="24"/>
              </w:rPr>
              <w:t>26</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执行董事兼总经理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1998</w:t>
            </w:r>
            <w:r>
              <w:rPr>
                <w:rFonts w:hint="eastAsia"/>
                <w:sz w:val="18"/>
                <w:szCs w:val="24"/>
              </w:rPr>
              <w:t>年</w:t>
            </w:r>
            <w:r>
              <w:rPr>
                <w:rFonts w:hint="default"/>
                <w:sz w:val="18"/>
                <w:szCs w:val="24"/>
              </w:rPr>
              <w:t>09</w:t>
            </w:r>
            <w:r>
              <w:rPr>
                <w:rFonts w:hint="eastAsia"/>
                <w:sz w:val="18"/>
                <w:szCs w:val="24"/>
              </w:rPr>
              <w:t>月</w:t>
            </w:r>
            <w:r>
              <w:rPr>
                <w:rFonts w:hint="default"/>
                <w:sz w:val="18"/>
                <w:szCs w:val="24"/>
              </w:rPr>
              <w:t>04</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2011</w:t>
            </w:r>
            <w:r>
              <w:rPr>
                <w:rFonts w:hint="eastAsia"/>
                <w:sz w:val="18"/>
                <w:szCs w:val="24"/>
              </w:rPr>
              <w:t>年</w:t>
            </w:r>
            <w:r>
              <w:rPr>
                <w:rFonts w:hint="default"/>
                <w:sz w:val="18"/>
                <w:szCs w:val="24"/>
              </w:rPr>
              <w:t>07</w:t>
            </w:r>
            <w:r>
              <w:rPr>
                <w:rFonts w:hint="eastAsia"/>
                <w:sz w:val="18"/>
                <w:szCs w:val="24"/>
              </w:rPr>
              <w:t>月</w:t>
            </w:r>
            <w:r>
              <w:rPr>
                <w:rFonts w:hint="default"/>
                <w:sz w:val="18"/>
                <w:szCs w:val="24"/>
              </w:rPr>
              <w:t>19</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Company Limited</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董事兼经理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2009</w:t>
            </w:r>
            <w:r>
              <w:rPr>
                <w:rFonts w:hint="eastAsia"/>
                <w:sz w:val="18"/>
                <w:szCs w:val="24"/>
              </w:rPr>
              <w:t>年</w:t>
            </w:r>
            <w:r>
              <w:rPr>
                <w:rFonts w:hint="default"/>
                <w:sz w:val="18"/>
                <w:szCs w:val="24"/>
              </w:rPr>
              <w:t>04</w:t>
            </w:r>
            <w:r>
              <w:rPr>
                <w:rFonts w:hint="eastAsia"/>
                <w:sz w:val="18"/>
                <w:szCs w:val="24"/>
              </w:rPr>
              <w:t>月</w:t>
            </w:r>
            <w:r>
              <w:rPr>
                <w:rFonts w:hint="default"/>
                <w:sz w:val="18"/>
                <w:szCs w:val="24"/>
              </w:rPr>
              <w:t>27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LLC</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2014</w:t>
            </w:r>
            <w:r>
              <w:rPr>
                <w:rFonts w:hint="eastAsia"/>
                <w:sz w:val="18"/>
                <w:szCs w:val="24"/>
              </w:rPr>
              <w:t>年</w:t>
            </w:r>
            <w:r>
              <w:rPr>
                <w:rFonts w:hint="default"/>
                <w:sz w:val="18"/>
                <w:szCs w:val="24"/>
              </w:rPr>
              <w:t>03</w:t>
            </w:r>
            <w:r>
              <w:rPr>
                <w:rFonts w:hint="eastAsia"/>
                <w:sz w:val="18"/>
                <w:szCs w:val="24"/>
              </w:rPr>
              <w:t>月</w:t>
            </w:r>
            <w:r>
              <w:rPr>
                <w:rFonts w:hint="default"/>
                <w:sz w:val="18"/>
                <w:szCs w:val="24"/>
              </w:rPr>
              <w:t>13</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伟隆（香港）实业有限公司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监事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2011</w:t>
            </w:r>
            <w:r>
              <w:rPr>
                <w:rFonts w:hint="eastAsia"/>
                <w:sz w:val="18"/>
                <w:szCs w:val="24"/>
              </w:rPr>
              <w:t>年</w:t>
            </w:r>
            <w:r>
              <w:rPr>
                <w:rFonts w:hint="default"/>
                <w:sz w:val="18"/>
                <w:szCs w:val="24"/>
              </w:rPr>
              <w:t>07</w:t>
            </w:r>
            <w:r>
              <w:rPr>
                <w:rFonts w:hint="eastAsia"/>
                <w:sz w:val="18"/>
                <w:szCs w:val="24"/>
              </w:rPr>
              <w:t>月</w:t>
            </w:r>
            <w:r>
              <w:rPr>
                <w:rFonts w:hint="default"/>
                <w:sz w:val="18"/>
                <w:szCs w:val="24"/>
              </w:rPr>
              <w:t>19</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青岛即聚机电有限责任公司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执行董事兼总经理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01</w:t>
            </w:r>
            <w:r>
              <w:rPr>
                <w:rFonts w:hint="eastAsia"/>
                <w:sz w:val="18"/>
                <w:szCs w:val="24"/>
              </w:rPr>
              <w:t>月</w:t>
            </w:r>
            <w:r>
              <w:rPr>
                <w:rFonts w:hint="default"/>
                <w:sz w:val="18"/>
                <w:szCs w:val="24"/>
              </w:rPr>
              <w:t>07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01</w:t>
            </w:r>
            <w:r>
              <w:rPr>
                <w:rFonts w:hint="eastAsia"/>
                <w:sz w:val="18"/>
                <w:szCs w:val="24"/>
              </w:rPr>
              <w:t>月</w:t>
            </w:r>
            <w:r>
              <w:rPr>
                <w:rFonts w:hint="default"/>
                <w:sz w:val="18"/>
                <w:szCs w:val="24"/>
              </w:rPr>
              <w:t>07</w:t>
            </w:r>
            <w:r>
              <w:rPr>
                <w:rFonts w:hint="eastAsia"/>
                <w:sz w:val="18"/>
                <w:szCs w:val="24"/>
              </w:rPr>
              <w:t>日</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张会亭</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青岛卓信检测技术有限责任公司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执行董事兼总经理</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09</w:t>
            </w:r>
            <w:r>
              <w:rPr>
                <w:rFonts w:hint="eastAsia"/>
                <w:sz w:val="18"/>
                <w:szCs w:val="24"/>
              </w:rPr>
              <w:t>月</w:t>
            </w:r>
            <w:r>
              <w:rPr>
                <w:rFonts w:hint="default"/>
                <w:sz w:val="18"/>
                <w:szCs w:val="24"/>
              </w:rPr>
              <w:t>08</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08</w:t>
            </w:r>
            <w:r>
              <w:rPr>
                <w:rFonts w:hint="eastAsia"/>
                <w:sz w:val="18"/>
                <w:szCs w:val="24"/>
              </w:rPr>
              <w:t>日</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青岛汉缆股份有限公司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27</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青岛日辰食品股份有限公司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04</w:t>
            </w:r>
            <w:r>
              <w:rPr>
                <w:rFonts w:hint="eastAsia"/>
                <w:sz w:val="18"/>
                <w:szCs w:val="24"/>
              </w:rPr>
              <w:t>月</w:t>
            </w:r>
            <w:r>
              <w:rPr>
                <w:rFonts w:hint="default"/>
                <w:sz w:val="18"/>
                <w:szCs w:val="24"/>
              </w:rPr>
              <w:t>28</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青岛国林环保科技股份有限公司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08</w:t>
            </w:r>
            <w:r>
              <w:rPr>
                <w:rFonts w:hint="eastAsia"/>
                <w:sz w:val="18"/>
                <w:szCs w:val="24"/>
              </w:rPr>
              <w:t>月</w:t>
            </w:r>
            <w:r>
              <w:rPr>
                <w:rFonts w:hint="default"/>
                <w:sz w:val="18"/>
                <w:szCs w:val="24"/>
              </w:rPr>
              <w:t>05</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中国海洋大学</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副教授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2001</w:t>
            </w:r>
            <w:r>
              <w:rPr>
                <w:rFonts w:hint="eastAsia"/>
                <w:sz w:val="18"/>
                <w:szCs w:val="24"/>
              </w:rPr>
              <w:t>年</w:t>
            </w:r>
            <w:r>
              <w:rPr>
                <w:rFonts w:hint="default"/>
                <w:sz w:val="18"/>
                <w:szCs w:val="24"/>
              </w:rPr>
              <w:t>12</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深圳大通实业股份有限公司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2019</w:t>
            </w:r>
            <w:r>
              <w:rPr>
                <w:rFonts w:hint="eastAsia"/>
                <w:sz w:val="18"/>
                <w:szCs w:val="24"/>
              </w:rPr>
              <w:t>年</w:t>
            </w:r>
            <w:r>
              <w:rPr>
                <w:rFonts w:hint="default"/>
                <w:sz w:val="18"/>
                <w:szCs w:val="24"/>
              </w:rPr>
              <w:t>12</w:t>
            </w:r>
            <w:r>
              <w:rPr>
                <w:rFonts w:hint="eastAsia"/>
                <w:sz w:val="18"/>
                <w:szCs w:val="24"/>
              </w:rPr>
              <w:t>月</w:t>
            </w:r>
            <w:r>
              <w:rPr>
                <w:rFonts w:hint="default"/>
                <w:sz w:val="18"/>
                <w:szCs w:val="24"/>
              </w:rPr>
              <w:t>18</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兰州理工大学</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客座教授</w:t>
            </w:r>
            <w:r>
              <w:rPr>
                <w:rFonts w:hint="default"/>
                <w:sz w:val="18"/>
                <w:szCs w:val="24"/>
              </w:rPr>
              <w:t xml:space="preserve"> </w:t>
            </w:r>
            <w:r>
              <w:rPr>
                <w:rFonts w:hint="eastAsia"/>
                <w:sz w:val="18"/>
                <w:szCs w:val="24"/>
              </w:rPr>
              <w:t>硕士生导师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2014</w:t>
            </w:r>
            <w:r>
              <w:rPr>
                <w:rFonts w:hint="eastAsia"/>
                <w:sz w:val="18"/>
                <w:szCs w:val="24"/>
              </w:rPr>
              <w:t>年</w:t>
            </w:r>
            <w:r>
              <w:rPr>
                <w:rFonts w:hint="default"/>
                <w:sz w:val="18"/>
                <w:szCs w:val="24"/>
              </w:rPr>
              <w:t>09</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中国通用机械工业协会</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副秘书长</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2004</w:t>
            </w:r>
            <w:r>
              <w:rPr>
                <w:rFonts w:hint="eastAsia"/>
                <w:sz w:val="18"/>
                <w:szCs w:val="24"/>
              </w:rPr>
              <w:t>年</w:t>
            </w:r>
            <w:r>
              <w:rPr>
                <w:rFonts w:hint="default"/>
                <w:sz w:val="18"/>
                <w:szCs w:val="24"/>
              </w:rPr>
              <w:t>05</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全国阀门技术标准委员会</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委员</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2016</w:t>
            </w:r>
            <w:r>
              <w:rPr>
                <w:rFonts w:hint="eastAsia"/>
                <w:sz w:val="18"/>
                <w:szCs w:val="24"/>
              </w:rPr>
              <w:t>年</w:t>
            </w:r>
            <w:r>
              <w:rPr>
                <w:rFonts w:hint="default"/>
                <w:sz w:val="18"/>
                <w:szCs w:val="24"/>
              </w:rPr>
              <w:t>06</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常州电站辅机股份有限公司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03</w:t>
            </w:r>
            <w:r>
              <w:rPr>
                <w:rFonts w:hint="eastAsia"/>
                <w:sz w:val="18"/>
                <w:szCs w:val="24"/>
              </w:rPr>
              <w:t>月</w:t>
            </w:r>
            <w:r>
              <w:rPr>
                <w:rFonts w:hint="default"/>
                <w:sz w:val="18"/>
                <w:szCs w:val="24"/>
              </w:rPr>
              <w:t>18</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山东文康律师事务所</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律师</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2018</w:t>
            </w:r>
            <w:r>
              <w:rPr>
                <w:rFonts w:hint="eastAsia"/>
                <w:sz w:val="18"/>
                <w:szCs w:val="24"/>
              </w:rPr>
              <w:t>年</w:t>
            </w:r>
            <w:r>
              <w:rPr>
                <w:rFonts w:hint="default"/>
                <w:sz w:val="18"/>
                <w:szCs w:val="24"/>
              </w:rPr>
              <w:t>03</w:t>
            </w:r>
            <w:r>
              <w:rPr>
                <w:rFonts w:hint="eastAsia"/>
                <w:sz w:val="18"/>
                <w:szCs w:val="24"/>
              </w:rPr>
              <w:t>月</w:t>
            </w:r>
            <w:r>
              <w:rPr>
                <w:rFonts w:hint="default"/>
                <w:sz w:val="18"/>
                <w:szCs w:val="24"/>
              </w:rPr>
              <w:t>01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山东朗进科技股份有限公司</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独立董事</w:t>
            </w:r>
          </w:p>
        </w:tc>
        <w:tc>
          <w:tcPr>
            <w:tcW w:w="12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2020</w:t>
            </w:r>
            <w:r>
              <w:rPr>
                <w:rFonts w:hint="eastAsia"/>
                <w:sz w:val="18"/>
                <w:szCs w:val="24"/>
              </w:rPr>
              <w:t>年</w:t>
            </w:r>
            <w:r>
              <w:rPr>
                <w:rFonts w:hint="default"/>
                <w:sz w:val="18"/>
                <w:szCs w:val="24"/>
              </w:rPr>
              <w:t>09</w:t>
            </w:r>
            <w:r>
              <w:rPr>
                <w:rFonts w:hint="eastAsia"/>
                <w:sz w:val="18"/>
                <w:szCs w:val="24"/>
              </w:rPr>
              <w:t>月</w:t>
            </w:r>
            <w:r>
              <w:rPr>
                <w:rFonts w:hint="default"/>
                <w:sz w:val="18"/>
                <w:szCs w:val="24"/>
              </w:rPr>
              <w:t>11</w:t>
            </w:r>
            <w:r>
              <w:rPr>
                <w:rFonts w:hint="eastAsia"/>
                <w:sz w:val="18"/>
                <w:szCs w:val="24"/>
              </w:rPr>
              <w:t>日</w:t>
            </w:r>
          </w:p>
        </w:tc>
        <w:tc>
          <w:tcPr>
            <w:tcW w:w="13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r>
              <w:rPr>
                <w:rFonts w:hint="default"/>
                <w:sz w:val="18"/>
                <w:szCs w:val="24"/>
              </w:rPr>
              <w:t>09</w:t>
            </w:r>
            <w:r>
              <w:rPr>
                <w:rFonts w:hint="eastAsia"/>
                <w:sz w:val="18"/>
                <w:szCs w:val="24"/>
              </w:rPr>
              <w:t>月</w:t>
            </w:r>
            <w:r>
              <w:rPr>
                <w:rFonts w:hint="default"/>
                <w:sz w:val="18"/>
                <w:szCs w:val="24"/>
              </w:rPr>
              <w:t>10</w:t>
            </w:r>
            <w:r>
              <w:rPr>
                <w:rFonts w:hint="eastAsia"/>
                <w:sz w:val="18"/>
                <w:szCs w:val="24"/>
              </w:rPr>
              <w:t>日</w:t>
            </w:r>
          </w:p>
        </w:tc>
        <w:tc>
          <w:tcPr>
            <w:tcW w:w="13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在其他单位任职情况的说明</w:t>
            </w:r>
          </w:p>
        </w:tc>
        <w:tc>
          <w:tcPr>
            <w:tcW w:w="8334" w:type="dxa"/>
            <w:gridSpan w:val="5"/>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公司现任及报告期内离任董事、监事和高级管理人员近三年证券监管机构处罚的情况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、董事、监事、高级管理人员报酬情况</w:t>
      </w:r>
    </w:p>
    <w:p>
      <w:pPr>
        <w:spacing w:beforeLines="0" w:afterLines="0"/>
        <w:jc w:val="left"/>
        <w:rPr>
          <w:rFonts w:hint="default"/>
          <w:sz w:val="18"/>
          <w:szCs w:val="24"/>
        </w:rPr>
      </w:pPr>
      <w:r>
        <w:rPr>
          <w:rFonts w:hint="eastAsia"/>
          <w:sz w:val="18"/>
          <w:szCs w:val="24"/>
        </w:rPr>
        <w:t>董事、监事、高级管理人员报酬的决策程序、确定依据、实际支付情况</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决策程序：股东大会确定董事、监事的报酬和支付方法；高级管理人员的薪酬和支付方由董事会薪酬与考核委员会提议，由公司董事会确定。</w:t>
      </w:r>
    </w:p>
    <w:p>
      <w:pPr>
        <w:autoSpaceDE w:val="0"/>
        <w:autoSpaceDN w:val="0"/>
        <w:adjustRightInd w:val="0"/>
        <w:spacing w:before="0" w:beforeLines="0" w:after="0" w:afterLines="0"/>
        <w:jc w:val="left"/>
        <w:rPr>
          <w:rFonts w:hint="default"/>
          <w:sz w:val="18"/>
          <w:szCs w:val="24"/>
          <w:lang w:val="zh-CN"/>
        </w:rPr>
      </w:pPr>
      <w:r>
        <w:rPr>
          <w:rFonts w:hint="eastAsia" w:ascii="宋体"/>
          <w:sz w:val="18"/>
          <w:szCs w:val="24"/>
          <w:lang w:val="zh-CN"/>
        </w:rPr>
        <w:t>确定依据：</w:t>
      </w:r>
      <w:r>
        <w:rPr>
          <w:rFonts w:hint="default"/>
          <w:sz w:val="18"/>
          <w:szCs w:val="24"/>
          <w:lang w:val="zh-CN"/>
        </w:rPr>
        <w:t>2021</w:t>
      </w:r>
      <w:r>
        <w:rPr>
          <w:rFonts w:hint="eastAsia" w:ascii="宋体"/>
          <w:sz w:val="18"/>
          <w:szCs w:val="24"/>
          <w:lang w:val="zh-CN"/>
        </w:rPr>
        <w:t>年度董事、监事的薪酬标准按</w:t>
      </w:r>
      <w:r>
        <w:rPr>
          <w:rFonts w:hint="default"/>
          <w:sz w:val="18"/>
          <w:szCs w:val="24"/>
          <w:lang w:val="zh-CN"/>
        </w:rPr>
        <w:t>2020</w:t>
      </w:r>
      <w:r>
        <w:rPr>
          <w:rFonts w:hint="eastAsia" w:ascii="宋体"/>
          <w:sz w:val="18"/>
          <w:szCs w:val="24"/>
          <w:lang w:val="zh-CN"/>
        </w:rPr>
        <w:t>年度股东大会审议通过的标准；高级管理人员的薪酬标准按第四届董事会第二次会议审议通过的标准。年末根据公司年度经营目标完成情况以及高级管理人员的工作业绩，由董事会薪酬与考核委员会对高级管理人员进行年度绩效考核，公司根据绩效考核结果兑现其考核年薪，并进行适当的奖惩。</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实际支付情况：报告期内，公司董事、监事、高管的基本年薪按月发放，考核年薪于每年末根据考核结果核定后发放。公司独立董事津贴按年度一次性发放。</w:t>
      </w:r>
    </w:p>
    <w:p>
      <w:pPr>
        <w:spacing w:beforeLines="0" w:afterLines="0"/>
        <w:jc w:val="left"/>
        <w:rPr>
          <w:rFonts w:hint="default"/>
          <w:sz w:val="18"/>
          <w:szCs w:val="24"/>
        </w:rPr>
      </w:pPr>
      <w:r>
        <w:rPr>
          <w:rFonts w:hint="eastAsia"/>
          <w:sz w:val="18"/>
          <w:szCs w:val="24"/>
        </w:rPr>
        <w:t>公司报告期内董事、监事和高级管理人员报酬情况</w:t>
      </w:r>
    </w:p>
    <w:p>
      <w:pPr>
        <w:spacing w:beforeLines="0" w:afterLines="0"/>
        <w:jc w:val="right"/>
        <w:rPr>
          <w:rFonts w:hint="default"/>
          <w:sz w:val="18"/>
          <w:szCs w:val="24"/>
        </w:rPr>
      </w:pPr>
      <w:r>
        <w:rPr>
          <w:rFonts w:hint="eastAsia"/>
          <w:sz w:val="18"/>
          <w:szCs w:val="24"/>
        </w:rPr>
        <w:t>单位：万元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姓名</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职务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性别</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年龄</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任职状态</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从公司获得的税前报酬总额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是否在公司关联方获取报酬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范庆伟</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董事长</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60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58.14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李会君</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50.59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范玉隆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生产总监助理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8.78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迟娜娜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财务总监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31.56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樊培银</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default"/>
                <w:color w:val="000000"/>
                <w:kern w:val="0"/>
                <w:sz w:val="18"/>
                <w:szCs w:val="18"/>
                <w:lang w:bidi="ar"/>
              </w:rPr>
              <w:t>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宋银立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57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default"/>
                <w:color w:val="000000"/>
                <w:kern w:val="0"/>
                <w:sz w:val="18"/>
                <w:szCs w:val="18"/>
                <w:lang w:bidi="ar"/>
              </w:rPr>
              <w:t>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高</w:t>
            </w:r>
            <w:r>
              <w:rPr>
                <w:rStyle w:val="8"/>
                <w:rFonts w:hint="default"/>
                <w:sz w:val="18"/>
                <w:szCs w:val="18"/>
                <w:lang w:bidi="ar"/>
              </w:rPr>
              <w:t xml:space="preserve">  </w:t>
            </w:r>
            <w:r>
              <w:rPr>
                <w:rStyle w:val="9"/>
                <w:rFonts w:hint="eastAsia" w:hAnsi="宋体"/>
                <w:sz w:val="18"/>
                <w:szCs w:val="18"/>
                <w:lang w:bidi="ar"/>
              </w:rPr>
              <w:t>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独立董事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default"/>
                <w:color w:val="000000"/>
                <w:kern w:val="0"/>
                <w:sz w:val="18"/>
                <w:szCs w:val="18"/>
                <w:lang w:bidi="ar"/>
              </w:rPr>
              <w:t>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渠汇成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生产总监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37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28.74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于春红</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人事专员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王凤春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质量专员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9.38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张</w:t>
            </w:r>
            <w:r>
              <w:rPr>
                <w:rStyle w:val="8"/>
                <w:rFonts w:hint="default"/>
                <w:sz w:val="18"/>
                <w:szCs w:val="18"/>
                <w:lang w:bidi="ar"/>
              </w:rPr>
              <w:t xml:space="preserve">  </w:t>
            </w:r>
            <w:r>
              <w:rPr>
                <w:rStyle w:val="9"/>
                <w:rFonts w:hint="eastAsia" w:hAnsi="宋体"/>
                <w:sz w:val="18"/>
                <w:szCs w:val="18"/>
                <w:lang w:bidi="ar"/>
              </w:rPr>
              <w:t>涛</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textAlignment w:val="center"/>
              <w:rPr>
                <w:rFonts w:hint="default"/>
                <w:sz w:val="18"/>
                <w:szCs w:val="24"/>
              </w:rPr>
            </w:pPr>
            <w:r>
              <w:rPr>
                <w:rFonts w:hint="eastAsia" w:ascii="宋体" w:hAnsi="宋体" w:cs="宋体"/>
                <w:color w:val="000000"/>
                <w:kern w:val="0"/>
                <w:sz w:val="20"/>
                <w:szCs w:val="20"/>
                <w:lang w:bidi="ar"/>
              </w:rPr>
              <w:t>内审员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7.01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高</w:t>
            </w:r>
            <w:r>
              <w:rPr>
                <w:rStyle w:val="8"/>
                <w:rFonts w:hint="default"/>
                <w:sz w:val="18"/>
                <w:szCs w:val="18"/>
                <w:lang w:bidi="ar"/>
              </w:rPr>
              <w:t xml:space="preserve">  </w:t>
            </w:r>
            <w:r>
              <w:rPr>
                <w:rStyle w:val="9"/>
                <w:rFonts w:hint="eastAsia" w:hAnsi="宋体"/>
                <w:sz w:val="18"/>
                <w:szCs w:val="18"/>
                <w:lang w:bidi="ar"/>
              </w:rPr>
              <w:t>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副总经理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31.22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刘克平</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副总经理</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31.21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张会亭</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研发技术总监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55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31.72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郭成尼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国际销售总监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52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30.72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王兆健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质量总监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20"/>
                <w:szCs w:val="20"/>
                <w:lang w:bidi="ar"/>
              </w:rPr>
              <w:t>41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center"/>
              <w:textAlignment w:val="center"/>
              <w:rPr>
                <w:rFonts w:hint="default"/>
                <w:sz w:val="18"/>
                <w:szCs w:val="24"/>
              </w:rPr>
            </w:pPr>
            <w:r>
              <w:rPr>
                <w:rFonts w:hint="eastAsia" w:ascii="宋体" w:hAnsi="宋体" w:cs="宋体"/>
                <w:color w:val="000000"/>
                <w:kern w:val="0"/>
                <w:sz w:val="18"/>
                <w:szCs w:val="18"/>
                <w:lang w:bidi="ar"/>
              </w:rPr>
              <w:t>现任</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24.89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left"/>
              <w:textAlignment w:val="center"/>
              <w:rPr>
                <w:rFonts w:hint="default"/>
                <w:sz w:val="18"/>
                <w:szCs w:val="24"/>
              </w:rPr>
            </w:pPr>
            <w:r>
              <w:rPr>
                <w:rFonts w:hint="eastAsia" w:ascii="宋体" w:hAnsi="宋体" w:cs="宋体"/>
                <w:color w:val="000000"/>
                <w:kern w:val="0"/>
                <w:sz w:val="18"/>
                <w:szCs w:val="18"/>
                <w:lang w:bidi="ar"/>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widowControl/>
              <w:spacing w:beforeLines="0" w:afterLines="0"/>
              <w:jc w:val="right"/>
              <w:textAlignment w:val="center"/>
              <w:rPr>
                <w:rFonts w:hint="default"/>
                <w:sz w:val="18"/>
                <w:szCs w:val="24"/>
              </w:rPr>
            </w:pPr>
            <w:r>
              <w:rPr>
                <w:rFonts w:hint="eastAsia" w:ascii="宋体" w:hAnsi="宋体" w:cs="宋体"/>
                <w:color w:val="000000"/>
                <w:kern w:val="0"/>
                <w:sz w:val="18"/>
                <w:szCs w:val="18"/>
                <w:lang w:bidi="ar"/>
              </w:rPr>
              <w:t>369.46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widowControl/>
              <w:spacing w:beforeLines="0" w:afterLines="0"/>
              <w:jc w:val="center"/>
              <w:textAlignment w:val="center"/>
              <w:rPr>
                <w:rFonts w:hint="default"/>
                <w:sz w:val="18"/>
                <w:szCs w:val="24"/>
              </w:rPr>
            </w:pPr>
            <w:r>
              <w:rPr>
                <w:rFonts w:hint="default"/>
                <w:color w:val="000000"/>
                <w:kern w:val="0"/>
                <w:sz w:val="18"/>
                <w:szCs w:val="18"/>
                <w:lang w:bidi="ar"/>
              </w:rPr>
              <w:t>--</w:t>
            </w:r>
          </w:p>
        </w:tc>
      </w:tr>
    </w:tbl>
    <w:p>
      <w:pPr>
        <w:pStyle w:val="6"/>
        <w:spacing w:beforeLines="0" w:afterLines="0"/>
        <w:outlineLvl w:val="1"/>
        <w:rPr>
          <w:rFonts w:hint="default"/>
          <w:sz w:val="24"/>
          <w:szCs w:val="24"/>
        </w:rPr>
      </w:pPr>
      <w:r>
        <w:rPr>
          <w:rFonts w:hint="eastAsia"/>
          <w:sz w:val="24"/>
          <w:szCs w:val="24"/>
        </w:rPr>
        <w:t>六、报告期内董事履行职责的情况</w:t>
      </w:r>
    </w:p>
    <w:p>
      <w:pPr>
        <w:pStyle w:val="7"/>
        <w:spacing w:beforeLines="0" w:afterLines="0"/>
        <w:outlineLvl w:val="2"/>
        <w:rPr>
          <w:rFonts w:hint="default"/>
          <w:sz w:val="21"/>
          <w:szCs w:val="24"/>
        </w:rPr>
      </w:pPr>
      <w:r>
        <w:rPr>
          <w:rFonts w:hint="default"/>
          <w:sz w:val="21"/>
          <w:szCs w:val="24"/>
        </w:rPr>
        <w:t>1</w:t>
      </w:r>
      <w:r>
        <w:rPr>
          <w:rFonts w:hint="eastAsia"/>
          <w:sz w:val="21"/>
          <w:szCs w:val="24"/>
        </w:rPr>
        <w:t>、本报告期董事会情况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会议届次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召开日期</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披露日期</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会议决议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第三届董事会第二十二次会议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06</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07</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第三届董事会第二十三次会议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01</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02</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第四届董事会第一次会议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22</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23</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第四届董事会第二次会议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28</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29</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第四届董事会第三次会议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06</w:t>
            </w:r>
            <w:r>
              <w:rPr>
                <w:rFonts w:hint="eastAsia"/>
                <w:sz w:val="18"/>
                <w:szCs w:val="24"/>
              </w:rPr>
              <w:t>月</w:t>
            </w:r>
            <w:r>
              <w:rPr>
                <w:rFonts w:hint="default"/>
                <w:sz w:val="18"/>
                <w:szCs w:val="24"/>
              </w:rPr>
              <w:t>29</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06</w:t>
            </w:r>
            <w:r>
              <w:rPr>
                <w:rFonts w:hint="eastAsia"/>
                <w:sz w:val="18"/>
                <w:szCs w:val="24"/>
              </w:rPr>
              <w:t>月</w:t>
            </w:r>
            <w:r>
              <w:rPr>
                <w:rFonts w:hint="default"/>
                <w:sz w:val="18"/>
                <w:szCs w:val="24"/>
              </w:rPr>
              <w:t>30</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第四届董事会第四次会议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08</w:t>
            </w:r>
            <w:r>
              <w:rPr>
                <w:rFonts w:hint="eastAsia"/>
                <w:sz w:val="18"/>
                <w:szCs w:val="24"/>
              </w:rPr>
              <w:t>月</w:t>
            </w:r>
            <w:r>
              <w:rPr>
                <w:rFonts w:hint="default"/>
                <w:sz w:val="18"/>
                <w:szCs w:val="24"/>
              </w:rPr>
              <w:t>26</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08</w:t>
            </w:r>
            <w:r>
              <w:rPr>
                <w:rFonts w:hint="eastAsia"/>
                <w:sz w:val="18"/>
                <w:szCs w:val="24"/>
              </w:rPr>
              <w:t>月</w:t>
            </w:r>
            <w:r>
              <w:rPr>
                <w:rFonts w:hint="default"/>
                <w:sz w:val="18"/>
                <w:szCs w:val="24"/>
              </w:rPr>
              <w:t>27</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第四届董事会第五次会议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09</w:t>
            </w:r>
            <w:r>
              <w:rPr>
                <w:rFonts w:hint="eastAsia"/>
                <w:sz w:val="18"/>
                <w:szCs w:val="24"/>
              </w:rPr>
              <w:t>月</w:t>
            </w:r>
            <w:r>
              <w:rPr>
                <w:rFonts w:hint="default"/>
                <w:sz w:val="18"/>
                <w:szCs w:val="24"/>
              </w:rPr>
              <w:t>28</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09</w:t>
            </w:r>
            <w:r>
              <w:rPr>
                <w:rFonts w:hint="eastAsia"/>
                <w:sz w:val="18"/>
                <w:szCs w:val="24"/>
              </w:rPr>
              <w:t>月</w:t>
            </w:r>
            <w:r>
              <w:rPr>
                <w:rFonts w:hint="default"/>
                <w:sz w:val="18"/>
                <w:szCs w:val="24"/>
              </w:rPr>
              <w:t>29</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第四届董事会第六次会议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27</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第四届董事会第七次会议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25</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第四届董事会第八次会议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11</w:t>
            </w:r>
            <w:r>
              <w:rPr>
                <w:rFonts w:hint="eastAsia"/>
                <w:sz w:val="18"/>
                <w:szCs w:val="24"/>
              </w:rPr>
              <w:t>日</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2021-109</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、董事出席董事会及股东大会的情况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7"/>
        <w:gridCol w:w="1164"/>
        <w:gridCol w:w="1164"/>
        <w:gridCol w:w="1163"/>
        <w:gridCol w:w="1163"/>
        <w:gridCol w:w="1163"/>
        <w:gridCol w:w="1163"/>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0"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董事出席董事会及股东大会的情况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董事姓名</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本报告期应参加董事会次数</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现场出席董事会次数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以通讯方式参加董事会次数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缺席董事会次数</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是否连续两次未亲自参加董事会会议</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出席股东大会次数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迟娜娜</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樊培银</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宋银立</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高科</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丁乃秀</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w:t>
            </w:r>
          </w:p>
        </w:tc>
        <w:tc>
          <w:tcPr>
            <w:tcW w:w="11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c>
          <w:tcPr>
            <w:tcW w:w="11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w:t>
            </w:r>
          </w:p>
        </w:tc>
      </w:tr>
    </w:tbl>
    <w:p>
      <w:pPr>
        <w:spacing w:beforeLines="0" w:afterLines="0"/>
        <w:jc w:val="left"/>
        <w:rPr>
          <w:rFonts w:hint="default"/>
          <w:sz w:val="18"/>
          <w:szCs w:val="24"/>
        </w:rPr>
      </w:pPr>
      <w:r>
        <w:rPr>
          <w:rFonts w:hint="eastAsia"/>
          <w:sz w:val="18"/>
          <w:szCs w:val="24"/>
        </w:rPr>
        <w:t>连续两次未亲自出席董事会的说明</w:t>
      </w:r>
    </w:p>
    <w:p>
      <w:pPr>
        <w:pStyle w:val="7"/>
        <w:spacing w:beforeLines="0" w:afterLines="0"/>
        <w:outlineLvl w:val="2"/>
        <w:rPr>
          <w:rFonts w:hint="default"/>
          <w:sz w:val="21"/>
          <w:szCs w:val="24"/>
        </w:rPr>
      </w:pPr>
      <w:r>
        <w:rPr>
          <w:rFonts w:hint="default"/>
          <w:sz w:val="21"/>
          <w:szCs w:val="24"/>
        </w:rPr>
        <w:t>3</w:t>
      </w:r>
      <w:r>
        <w:rPr>
          <w:rFonts w:hint="eastAsia"/>
          <w:sz w:val="21"/>
          <w:szCs w:val="24"/>
        </w:rPr>
        <w:t>、董事对公司有关事项提出异议的情况</w:t>
      </w:r>
    </w:p>
    <w:p>
      <w:pPr>
        <w:spacing w:beforeLines="0" w:afterLines="0"/>
        <w:jc w:val="left"/>
        <w:rPr>
          <w:rFonts w:hint="default"/>
          <w:sz w:val="18"/>
          <w:szCs w:val="24"/>
        </w:rPr>
      </w:pPr>
      <w:r>
        <w:rPr>
          <w:rFonts w:hint="eastAsia"/>
          <w:sz w:val="18"/>
          <w:szCs w:val="24"/>
        </w:rPr>
        <w:t>董事对公司有关事项是否提出异议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报告期内董事对公司有关事项未提出异议。</w:t>
      </w:r>
    </w:p>
    <w:p>
      <w:pPr>
        <w:pStyle w:val="7"/>
        <w:spacing w:beforeLines="0" w:afterLines="0"/>
        <w:outlineLvl w:val="2"/>
        <w:rPr>
          <w:rFonts w:hint="default"/>
          <w:sz w:val="21"/>
          <w:szCs w:val="24"/>
        </w:rPr>
      </w:pPr>
      <w:r>
        <w:rPr>
          <w:rFonts w:hint="default"/>
          <w:sz w:val="21"/>
          <w:szCs w:val="24"/>
        </w:rPr>
        <w:t>4</w:t>
      </w:r>
      <w:r>
        <w:rPr>
          <w:rFonts w:hint="eastAsia"/>
          <w:sz w:val="21"/>
          <w:szCs w:val="24"/>
        </w:rPr>
        <w:t>、董事履行职责的其他说明</w:t>
      </w:r>
    </w:p>
    <w:p>
      <w:pPr>
        <w:spacing w:beforeLines="0" w:afterLines="0"/>
        <w:jc w:val="left"/>
        <w:rPr>
          <w:rFonts w:hint="default"/>
          <w:sz w:val="18"/>
          <w:szCs w:val="24"/>
        </w:rPr>
      </w:pPr>
      <w:r>
        <w:rPr>
          <w:rFonts w:hint="eastAsia"/>
          <w:sz w:val="18"/>
          <w:szCs w:val="24"/>
        </w:rPr>
        <w:t>董事对公司有关建议是否被采纳</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董事对公司有关建议被采纳或未被采纳的说明</w:t>
      </w:r>
    </w:p>
    <w:p>
      <w:pPr>
        <w:autoSpaceDE w:val="0"/>
        <w:autoSpaceDN w:val="0"/>
        <w:adjustRightInd w:val="0"/>
        <w:spacing w:before="0" w:beforeLines="0" w:after="0" w:afterLines="0"/>
        <w:jc w:val="left"/>
        <w:rPr>
          <w:rFonts w:hint="eastAsia" w:ascii="宋体"/>
          <w:sz w:val="18"/>
          <w:szCs w:val="24"/>
          <w:lang w:val="zh-CN"/>
        </w:rPr>
        <w:sectPr>
          <w:pgSz w:w="11906" w:h="16838"/>
          <w:pgMar w:top="1440" w:right="1134" w:bottom="1440" w:left="1134" w:header="851" w:footer="992" w:gutter="0"/>
          <w:lnNumType w:countBy="0" w:distance="360"/>
          <w:cols w:space="720" w:num="1"/>
          <w:docGrid w:type="lines" w:linePitch="312" w:charSpace="0"/>
        </w:sectPr>
      </w:pPr>
      <w:r>
        <w:rPr>
          <w:rFonts w:hint="eastAsia" w:ascii="宋体"/>
          <w:sz w:val="18"/>
          <w:szCs w:val="24"/>
          <w:lang w:val="zh-CN"/>
        </w:rPr>
        <w:t>报告期内，公司董事严格按照《公司章程》、《深圳证券交易所上市规则》、《深圳证券交易所上市公司规范运作指引》及《独立董事工作细则》等的规定，本着对公司、投资者负责的态度，积极出席相关会议，深入公司现场调查，了解经营状况和内部控制的建设及董事会决议执行情况，为公司经营和发展提出合理化的意见和建议。</w:t>
      </w:r>
    </w:p>
    <w:p>
      <w:pPr>
        <w:pStyle w:val="6"/>
        <w:spacing w:beforeLines="0" w:afterLines="0"/>
        <w:outlineLvl w:val="1"/>
        <w:rPr>
          <w:rFonts w:hint="default"/>
          <w:sz w:val="24"/>
          <w:szCs w:val="24"/>
        </w:rPr>
      </w:pPr>
      <w:r>
        <w:rPr>
          <w:rFonts w:hint="eastAsia"/>
          <w:sz w:val="24"/>
          <w:szCs w:val="24"/>
        </w:rPr>
        <w:t>七、董事会下设专门委员会在报告期内的情况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7"/>
        <w:gridCol w:w="1195"/>
        <w:gridCol w:w="924"/>
        <w:gridCol w:w="1667"/>
        <w:gridCol w:w="4150"/>
        <w:gridCol w:w="1333"/>
        <w:gridCol w:w="1233"/>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委员会名称</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成员情况</w:t>
            </w: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召开会议次数</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召开日期</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会议内容</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提出的重要意见和建议</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其他履行职责的情况</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异议事项具体情况（如有）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restart"/>
            <w:tcBorders>
              <w:top w:val="single" w:color="auto" w:sz="4" w:space="0"/>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highlight w:val="yellow"/>
              </w:rPr>
            </w:pPr>
            <w:r>
              <w:rPr>
                <w:rFonts w:hint="eastAsia"/>
                <w:sz w:val="18"/>
                <w:szCs w:val="24"/>
              </w:rPr>
              <w:t>审计委员会</w:t>
            </w:r>
          </w:p>
        </w:tc>
        <w:tc>
          <w:tcPr>
            <w:tcW w:w="1195" w:type="dxa"/>
            <w:vMerge w:val="restart"/>
            <w:tcBorders>
              <w:top w:val="single" w:color="auto" w:sz="4" w:space="0"/>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highlight w:val="yellow"/>
              </w:rPr>
            </w:pPr>
            <w:r>
              <w:rPr>
                <w:rFonts w:hint="eastAsia"/>
                <w:sz w:val="18"/>
                <w:szCs w:val="24"/>
              </w:rPr>
              <w:t>樊培银、高科、迟娜娜</w:t>
            </w:r>
          </w:p>
        </w:tc>
        <w:tc>
          <w:tcPr>
            <w:tcW w:w="924" w:type="dxa"/>
            <w:vMerge w:val="restart"/>
            <w:tcBorders>
              <w:top w:val="single" w:color="auto" w:sz="4" w:space="0"/>
              <w:left w:val="single" w:color="auto" w:sz="4" w:space="0"/>
              <w:bottom w:val="nil"/>
              <w:right w:val="single" w:color="auto" w:sz="4" w:space="0"/>
              <w:tl2br w:val="nil"/>
              <w:tr2bl w:val="nil"/>
            </w:tcBorders>
            <w:shd w:val="clear" w:color="auto" w:fill="auto"/>
            <w:noWrap w:val="0"/>
            <w:vAlign w:val="center"/>
          </w:tcPr>
          <w:p>
            <w:pPr>
              <w:spacing w:beforeLines="0" w:afterLines="0"/>
              <w:jc w:val="right"/>
              <w:rPr>
                <w:rFonts w:hint="default"/>
                <w:sz w:val="18"/>
                <w:szCs w:val="24"/>
                <w:highlight w:val="yellow"/>
              </w:rPr>
            </w:pPr>
            <w:r>
              <w:rPr>
                <w:rFonts w:hint="default"/>
                <w:sz w:val="18"/>
                <w:szCs w:val="24"/>
              </w:rPr>
              <w:t>4</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22</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eastAsia"/>
                <w:sz w:val="18"/>
                <w:szCs w:val="24"/>
              </w:rPr>
              <w:t>《关于</w:t>
            </w:r>
            <w:r>
              <w:rPr>
                <w:rFonts w:hint="default"/>
                <w:sz w:val="18"/>
                <w:szCs w:val="24"/>
              </w:rPr>
              <w:t>2020</w:t>
            </w:r>
            <w:r>
              <w:rPr>
                <w:rFonts w:hint="eastAsia"/>
                <w:sz w:val="18"/>
                <w:szCs w:val="24"/>
              </w:rPr>
              <w:t>年第四季度及</w:t>
            </w:r>
            <w:r>
              <w:rPr>
                <w:rFonts w:hint="default"/>
                <w:sz w:val="18"/>
                <w:szCs w:val="24"/>
              </w:rPr>
              <w:t>2020</w:t>
            </w:r>
            <w:r>
              <w:rPr>
                <w:rFonts w:hint="eastAsia"/>
                <w:sz w:val="18"/>
                <w:szCs w:val="24"/>
              </w:rPr>
              <w:t>年度内部审计工作报告的议案》《关于</w:t>
            </w:r>
            <w:r>
              <w:rPr>
                <w:rFonts w:hint="default"/>
                <w:sz w:val="18"/>
                <w:szCs w:val="24"/>
              </w:rPr>
              <w:t>2021</w:t>
            </w:r>
            <w:r>
              <w:rPr>
                <w:rFonts w:hint="eastAsia"/>
                <w:sz w:val="18"/>
                <w:szCs w:val="24"/>
              </w:rPr>
              <w:t>年度及</w:t>
            </w:r>
            <w:r>
              <w:rPr>
                <w:rFonts w:hint="default"/>
                <w:sz w:val="18"/>
                <w:szCs w:val="24"/>
              </w:rPr>
              <w:t xml:space="preserve">2021 </w:t>
            </w:r>
            <w:r>
              <w:rPr>
                <w:rFonts w:hint="eastAsia"/>
                <w:sz w:val="18"/>
                <w:szCs w:val="24"/>
              </w:rPr>
              <w:t>年第一季度内部审计工作计划的议案》《关于</w:t>
            </w:r>
            <w:r>
              <w:rPr>
                <w:rFonts w:hint="default"/>
                <w:sz w:val="18"/>
                <w:szCs w:val="24"/>
              </w:rPr>
              <w:t>2020</w:t>
            </w:r>
            <w:r>
              <w:rPr>
                <w:rFonts w:hint="eastAsia"/>
                <w:sz w:val="18"/>
                <w:szCs w:val="24"/>
              </w:rPr>
              <w:t>年度募集资金使用情况专项报告的议案》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highlight w:val="yellow"/>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15</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w:t>
            </w:r>
            <w:r>
              <w:rPr>
                <w:rFonts w:hint="default"/>
                <w:sz w:val="18"/>
                <w:szCs w:val="24"/>
              </w:rPr>
              <w:t>2021</w:t>
            </w:r>
            <w:r>
              <w:rPr>
                <w:rFonts w:hint="eastAsia"/>
                <w:sz w:val="18"/>
                <w:szCs w:val="24"/>
              </w:rPr>
              <w:t>年第一季度内部审计工作报告的议案》《关于</w:t>
            </w:r>
            <w:r>
              <w:rPr>
                <w:rFonts w:hint="default"/>
                <w:sz w:val="18"/>
                <w:szCs w:val="24"/>
              </w:rPr>
              <w:t xml:space="preserve">2021 </w:t>
            </w:r>
            <w:r>
              <w:rPr>
                <w:rFonts w:hint="eastAsia"/>
                <w:sz w:val="18"/>
                <w:szCs w:val="24"/>
              </w:rPr>
              <w:t>年第二季度内部审计工作计划的议案》《关于续聘</w:t>
            </w:r>
            <w:r>
              <w:rPr>
                <w:rFonts w:hint="default"/>
                <w:sz w:val="18"/>
                <w:szCs w:val="24"/>
              </w:rPr>
              <w:t>2021</w:t>
            </w:r>
            <w:r>
              <w:rPr>
                <w:rFonts w:hint="eastAsia"/>
                <w:sz w:val="18"/>
                <w:szCs w:val="24"/>
              </w:rPr>
              <w:t>年度审计机构的议案》《关于</w:t>
            </w:r>
            <w:r>
              <w:rPr>
                <w:rFonts w:hint="default"/>
                <w:sz w:val="18"/>
                <w:szCs w:val="24"/>
              </w:rPr>
              <w:t>2020</w:t>
            </w:r>
            <w:r>
              <w:rPr>
                <w:rFonts w:hint="eastAsia"/>
                <w:sz w:val="18"/>
                <w:szCs w:val="24"/>
              </w:rPr>
              <w:t>年度内部控制评价报告的议案》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97"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nil"/>
              <w:left w:val="single" w:color="auto" w:sz="4" w:space="0"/>
              <w:bottom w:val="nil"/>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07</w:t>
            </w:r>
            <w:r>
              <w:rPr>
                <w:rFonts w:hint="eastAsia"/>
                <w:sz w:val="18"/>
                <w:szCs w:val="24"/>
              </w:rPr>
              <w:t>月</w:t>
            </w:r>
            <w:r>
              <w:rPr>
                <w:rFonts w:hint="default"/>
                <w:sz w:val="18"/>
                <w:szCs w:val="24"/>
              </w:rPr>
              <w:t>09</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w:t>
            </w:r>
            <w:r>
              <w:rPr>
                <w:rFonts w:hint="default"/>
                <w:sz w:val="18"/>
                <w:szCs w:val="24"/>
              </w:rPr>
              <w:t>2021</w:t>
            </w:r>
            <w:r>
              <w:rPr>
                <w:rFonts w:hint="eastAsia"/>
                <w:sz w:val="18"/>
                <w:szCs w:val="24"/>
              </w:rPr>
              <w:t>年第二季度内部审计工作报告的议案》《关于</w:t>
            </w:r>
            <w:r>
              <w:rPr>
                <w:rFonts w:hint="default"/>
                <w:sz w:val="18"/>
                <w:szCs w:val="24"/>
              </w:rPr>
              <w:t xml:space="preserve">2021 </w:t>
            </w:r>
            <w:r>
              <w:rPr>
                <w:rFonts w:hint="eastAsia"/>
                <w:sz w:val="18"/>
                <w:szCs w:val="24"/>
              </w:rPr>
              <w:t>年第三季度内部审计工作计划的议案》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continue"/>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nil"/>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18</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w:t>
            </w:r>
            <w:r>
              <w:rPr>
                <w:rFonts w:hint="default"/>
                <w:sz w:val="18"/>
                <w:szCs w:val="24"/>
              </w:rPr>
              <w:t>2021</w:t>
            </w:r>
            <w:r>
              <w:rPr>
                <w:rFonts w:hint="eastAsia"/>
                <w:sz w:val="18"/>
                <w:szCs w:val="24"/>
              </w:rPr>
              <w:t>年第三季度内部审计工作报告的议案》《关于</w:t>
            </w:r>
            <w:r>
              <w:rPr>
                <w:rFonts w:hint="default"/>
                <w:sz w:val="18"/>
                <w:szCs w:val="24"/>
              </w:rPr>
              <w:t xml:space="preserve">2021 </w:t>
            </w:r>
            <w:r>
              <w:rPr>
                <w:rFonts w:hint="eastAsia"/>
                <w:sz w:val="18"/>
                <w:szCs w:val="24"/>
              </w:rPr>
              <w:t>年第四季度内部审计工作计划的议案》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薪酬与考核委员会</w:t>
            </w:r>
          </w:p>
        </w:tc>
        <w:tc>
          <w:tcPr>
            <w:tcW w:w="11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范庆伟、樊培银、高科</w:t>
            </w:r>
          </w:p>
        </w:tc>
        <w:tc>
          <w:tcPr>
            <w:tcW w:w="9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04</w:t>
            </w:r>
            <w:r>
              <w:rPr>
                <w:rFonts w:hint="eastAsia"/>
                <w:sz w:val="18"/>
                <w:szCs w:val="24"/>
              </w:rPr>
              <w:t>月</w:t>
            </w:r>
            <w:r>
              <w:rPr>
                <w:rFonts w:hint="default"/>
                <w:sz w:val="18"/>
                <w:szCs w:val="24"/>
              </w:rPr>
              <w:t>16</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关于拟定公司董事、监事及高管人员薪酬的议案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09</w:t>
            </w:r>
            <w:r>
              <w:rPr>
                <w:rFonts w:hint="eastAsia"/>
                <w:sz w:val="18"/>
                <w:szCs w:val="24"/>
              </w:rPr>
              <w:t>月</w:t>
            </w:r>
            <w:r>
              <w:rPr>
                <w:rFonts w:hint="default"/>
                <w:sz w:val="18"/>
                <w:szCs w:val="24"/>
              </w:rPr>
              <w:t>23</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关于《伟隆股份</w:t>
            </w:r>
            <w:r>
              <w:rPr>
                <w:rFonts w:hint="default"/>
                <w:sz w:val="18"/>
                <w:szCs w:val="24"/>
              </w:rPr>
              <w:t>2021</w:t>
            </w:r>
            <w:r>
              <w:rPr>
                <w:rFonts w:hint="eastAsia"/>
                <w:sz w:val="18"/>
                <w:szCs w:val="24"/>
              </w:rPr>
              <w:t>年限制性股票激励计划（草案）及摘要》的议案、关于《伟隆股份</w:t>
            </w:r>
            <w:r>
              <w:rPr>
                <w:rFonts w:hint="default"/>
                <w:sz w:val="18"/>
                <w:szCs w:val="24"/>
              </w:rPr>
              <w:t>2021</w:t>
            </w:r>
            <w:r>
              <w:rPr>
                <w:rFonts w:hint="eastAsia"/>
                <w:sz w:val="18"/>
                <w:szCs w:val="24"/>
              </w:rPr>
              <w:t>年限制性股票激励计划实施考核管理办法》的议案、关于《公司</w:t>
            </w:r>
            <w:r>
              <w:rPr>
                <w:rFonts w:hint="default"/>
                <w:sz w:val="18"/>
                <w:szCs w:val="24"/>
              </w:rPr>
              <w:t>2021</w:t>
            </w:r>
            <w:r>
              <w:rPr>
                <w:rFonts w:hint="eastAsia"/>
                <w:sz w:val="18"/>
                <w:szCs w:val="24"/>
              </w:rPr>
              <w:t>年限制性股票激励计划之激励对象名单》的议案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23</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w:t>
            </w:r>
            <w:r>
              <w:rPr>
                <w:rFonts w:hint="default"/>
                <w:sz w:val="18"/>
                <w:szCs w:val="24"/>
              </w:rPr>
              <w:t>2018</w:t>
            </w:r>
            <w:r>
              <w:rPr>
                <w:rFonts w:hint="eastAsia"/>
                <w:sz w:val="18"/>
                <w:szCs w:val="24"/>
              </w:rPr>
              <w:t>年限制性股票激励计划第三个解锁期解锁条件成就的议案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战略委员会</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范庆伟、李会君、宋银立</w:t>
            </w:r>
          </w:p>
        </w:tc>
        <w:tc>
          <w:tcPr>
            <w:tcW w:w="9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01</w:t>
            </w:r>
            <w:r>
              <w:rPr>
                <w:rFonts w:hint="eastAsia"/>
                <w:sz w:val="18"/>
                <w:szCs w:val="24"/>
              </w:rPr>
              <w:t>月</w:t>
            </w:r>
            <w:r>
              <w:rPr>
                <w:rFonts w:hint="default"/>
                <w:sz w:val="18"/>
                <w:szCs w:val="24"/>
              </w:rPr>
              <w:t>27</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关于制定公司</w:t>
            </w:r>
            <w:r>
              <w:rPr>
                <w:rFonts w:hint="default"/>
                <w:sz w:val="18"/>
                <w:szCs w:val="24"/>
              </w:rPr>
              <w:t>2021</w:t>
            </w:r>
            <w:r>
              <w:rPr>
                <w:rFonts w:hint="eastAsia"/>
                <w:sz w:val="18"/>
                <w:szCs w:val="24"/>
              </w:rPr>
              <w:t>年度经营目标计划的议案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提名委员会</w:t>
            </w:r>
          </w:p>
        </w:tc>
        <w:tc>
          <w:tcPr>
            <w:tcW w:w="11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范庆伟、樊培银、高科</w:t>
            </w:r>
          </w:p>
        </w:tc>
        <w:tc>
          <w:tcPr>
            <w:tcW w:w="9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w:t>
            </w: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03</w:t>
            </w:r>
            <w:r>
              <w:rPr>
                <w:rFonts w:hint="eastAsia"/>
                <w:sz w:val="18"/>
                <w:szCs w:val="24"/>
              </w:rPr>
              <w:t>月</w:t>
            </w:r>
            <w:r>
              <w:rPr>
                <w:rFonts w:hint="default"/>
                <w:sz w:val="18"/>
                <w:szCs w:val="24"/>
              </w:rPr>
              <w:t>17</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关于提名公司内部审计部负责人的议案、关于提名公司质量总监人选的议案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9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16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02</w:t>
            </w:r>
            <w:r>
              <w:rPr>
                <w:rFonts w:hint="eastAsia"/>
                <w:sz w:val="18"/>
                <w:szCs w:val="24"/>
              </w:rPr>
              <w:t>月</w:t>
            </w:r>
            <w:r>
              <w:rPr>
                <w:rFonts w:hint="default"/>
                <w:sz w:val="18"/>
                <w:szCs w:val="24"/>
              </w:rPr>
              <w:t>24</w:t>
            </w:r>
            <w:r>
              <w:rPr>
                <w:rFonts w:hint="eastAsia"/>
                <w:sz w:val="18"/>
                <w:szCs w:val="24"/>
              </w:rPr>
              <w:t>日</w:t>
            </w:r>
          </w:p>
        </w:tc>
        <w:tc>
          <w:tcPr>
            <w:tcW w:w="41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《关于董事会换届选举暨选举第四届董事会非独立董事候选人的议案》《关于董事会换届选举暨选举第四届董事会独立董事候选人的议案》《关于提名公司内部审计部负责人的议案》</w:t>
            </w:r>
          </w:p>
        </w:tc>
        <w:tc>
          <w:tcPr>
            <w:tcW w:w="13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通过</w:t>
            </w:r>
          </w:p>
        </w:tc>
        <w:tc>
          <w:tcPr>
            <w:tcW w:w="123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pStyle w:val="6"/>
        <w:spacing w:beforeLines="0" w:afterLines="0"/>
        <w:outlineLvl w:val="1"/>
        <w:rPr>
          <w:rFonts w:hint="default"/>
          <w:sz w:val="24"/>
          <w:szCs w:val="24"/>
        </w:rPr>
        <w:sectPr>
          <w:pgSz w:w="16838" w:h="11906" w:orient="landscape"/>
          <w:pgMar w:top="1134" w:right="1440" w:bottom="1134" w:left="1440" w:header="851" w:footer="992" w:gutter="0"/>
          <w:lnNumType w:countBy="0" w:distance="360"/>
          <w:cols w:space="720" w:num="1"/>
          <w:docGrid w:type="lines" w:linePitch="312" w:charSpace="0"/>
        </w:sectPr>
      </w:pPr>
    </w:p>
    <w:p>
      <w:pPr>
        <w:pStyle w:val="6"/>
        <w:spacing w:beforeLines="0" w:afterLines="0"/>
        <w:outlineLvl w:val="1"/>
        <w:rPr>
          <w:rFonts w:hint="default"/>
          <w:sz w:val="24"/>
          <w:szCs w:val="24"/>
        </w:rPr>
      </w:pPr>
      <w:r>
        <w:rPr>
          <w:rFonts w:hint="eastAsia"/>
          <w:sz w:val="24"/>
          <w:szCs w:val="24"/>
        </w:rPr>
        <w:t>八、监事会工作情况</w:t>
      </w:r>
    </w:p>
    <w:p>
      <w:pPr>
        <w:spacing w:beforeLines="0" w:afterLines="0"/>
        <w:jc w:val="left"/>
        <w:rPr>
          <w:rFonts w:hint="default"/>
          <w:sz w:val="18"/>
          <w:szCs w:val="24"/>
        </w:rPr>
      </w:pPr>
      <w:r>
        <w:rPr>
          <w:rFonts w:hint="eastAsia"/>
          <w:sz w:val="18"/>
          <w:szCs w:val="24"/>
        </w:rPr>
        <w:t>监事会在报告期内的监督活动中发现公司是否存在风险</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监事会对报告期内的监督事项无异议。</w:t>
      </w:r>
    </w:p>
    <w:p>
      <w:pPr>
        <w:pStyle w:val="6"/>
        <w:spacing w:beforeLines="0" w:afterLines="0"/>
        <w:outlineLvl w:val="1"/>
        <w:rPr>
          <w:rFonts w:hint="default"/>
          <w:sz w:val="24"/>
          <w:szCs w:val="24"/>
        </w:rPr>
      </w:pPr>
      <w:r>
        <w:rPr>
          <w:rFonts w:hint="eastAsia"/>
          <w:sz w:val="24"/>
          <w:szCs w:val="24"/>
        </w:rPr>
        <w:t>九、公司员工情况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、员工数量、专业构成及教育程度</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报告期末母公司在职员工的数量（人）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报告期末主要子公司在职员工的数量（人）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报告期末在职员工的数量合计（人）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当期领取薪酬员工总人数（人）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母公司及主要子公司需承担费用的离退休职工人数（人）</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专业构成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专业构成类别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专业构成人数（人）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生产人员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销售人员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技术人员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行政人员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管理人员</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教育程度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教育程度类别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数量（人）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硕士</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专科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中专及以下</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732</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、薪酬政策</w:t>
      </w:r>
    </w:p>
    <w:p>
      <w:pPr>
        <w:autoSpaceDE w:val="0"/>
        <w:autoSpaceDN w:val="0"/>
        <w:adjustRightInd w:val="0"/>
        <w:spacing w:beforeLines="0" w:afterLines="0"/>
        <w:ind w:firstLine="270"/>
        <w:rPr>
          <w:rFonts w:hint="default"/>
          <w:color w:val="auto"/>
          <w:sz w:val="18"/>
          <w:szCs w:val="24"/>
          <w:lang w:val="zh-CN"/>
        </w:rPr>
      </w:pPr>
      <w:r>
        <w:rPr>
          <w:rFonts w:hint="eastAsia" w:ascii="宋体"/>
          <w:color w:val="auto"/>
          <w:sz w:val="18"/>
          <w:szCs w:val="24"/>
          <w:lang w:val="zh-CN"/>
        </w:rPr>
        <w:t>公司根据个人的学历、职称、以及岗位胜任力、贡献与业绩等，确定每个岗位员工的薪酬。薪酬以岗位价值为基础、业绩为导向，以长期合作、信任为基础，建立起了由基本工资、岗位补贴、考核工资、业务提成等组成的《薪酬管理制度》。公司在加强组织结构优化的同时，结合劳动力市场变化，为公司员工提供了良好的发展平台和职业晋升通道。同时，公司按照国家、省、市相关政策，为员工缴纳</w:t>
      </w:r>
      <w:r>
        <w:rPr>
          <w:rFonts w:hint="default"/>
          <w:color w:val="auto"/>
          <w:sz w:val="18"/>
          <w:szCs w:val="24"/>
          <w:lang w:val="zh-CN"/>
        </w:rPr>
        <w:t>“</w:t>
      </w:r>
      <w:r>
        <w:rPr>
          <w:rFonts w:hint="eastAsia" w:ascii="宋体"/>
          <w:color w:val="auto"/>
          <w:sz w:val="18"/>
          <w:szCs w:val="24"/>
          <w:lang w:val="zh-CN"/>
        </w:rPr>
        <w:t>五险一金</w:t>
      </w:r>
      <w:r>
        <w:rPr>
          <w:rFonts w:hint="default"/>
          <w:color w:val="auto"/>
          <w:sz w:val="18"/>
          <w:szCs w:val="24"/>
          <w:lang w:val="zh-CN"/>
        </w:rPr>
        <w:t>”</w:t>
      </w:r>
      <w:r>
        <w:rPr>
          <w:rFonts w:hint="eastAsia" w:ascii="宋体"/>
          <w:color w:val="auto"/>
          <w:sz w:val="18"/>
          <w:szCs w:val="24"/>
          <w:lang w:val="zh-CN"/>
        </w:rPr>
        <w:t>，享有相应的福利待遇</w:t>
      </w:r>
      <w:r>
        <w:rPr>
          <w:rFonts w:hint="default"/>
          <w:color w:val="auto"/>
          <w:sz w:val="18"/>
          <w:szCs w:val="24"/>
          <w:lang w:val="zh-CN"/>
        </w:rPr>
        <w:t xml:space="preserve"> </w:t>
      </w:r>
      <w:r>
        <w:rPr>
          <w:rFonts w:hint="eastAsia" w:ascii="宋体"/>
          <w:color w:val="auto"/>
          <w:sz w:val="18"/>
          <w:szCs w:val="24"/>
          <w:lang w:val="zh-CN"/>
        </w:rPr>
        <w:t>。</w:t>
      </w:r>
    </w:p>
    <w:p>
      <w:pPr>
        <w:pStyle w:val="7"/>
        <w:spacing w:beforeLines="0" w:afterLines="0"/>
        <w:outlineLvl w:val="2"/>
        <w:rPr>
          <w:rFonts w:hint="default"/>
          <w:sz w:val="21"/>
          <w:szCs w:val="24"/>
        </w:rPr>
      </w:pPr>
      <w:r>
        <w:rPr>
          <w:rFonts w:hint="default"/>
          <w:sz w:val="21"/>
          <w:szCs w:val="24"/>
        </w:rPr>
        <w:t>3</w:t>
      </w:r>
      <w:r>
        <w:rPr>
          <w:rFonts w:hint="eastAsia"/>
          <w:sz w:val="21"/>
          <w:szCs w:val="24"/>
        </w:rPr>
        <w:t>、培训计划</w:t>
      </w:r>
    </w:p>
    <w:p>
      <w:pPr>
        <w:autoSpaceDE w:val="0"/>
        <w:autoSpaceDN w:val="0"/>
        <w:adjustRightInd w:val="0"/>
        <w:spacing w:beforeLines="0" w:afterLines="0"/>
        <w:ind w:firstLine="360"/>
        <w:rPr>
          <w:rFonts w:hint="default"/>
          <w:sz w:val="18"/>
          <w:szCs w:val="24"/>
          <w:lang w:val="zh-CN"/>
        </w:rPr>
      </w:pPr>
      <w:r>
        <w:rPr>
          <w:rFonts w:hint="eastAsia" w:ascii="宋体"/>
          <w:sz w:val="18"/>
          <w:szCs w:val="24"/>
          <w:lang w:val="zh-CN"/>
        </w:rPr>
        <w:t>公司一直坚持贯彻培训是员工成长的有效途径。公司培训工作坚持以发展战略为导向、以员工职业规划和技能为基础，着眼于员工潜技能、潜质和素养提升。公司每年度根据各部门岗位业务需要提出年度员工培训计划，并结合公司发展战略管理、精益化管理、班组管理技能、</w:t>
      </w:r>
      <w:r>
        <w:rPr>
          <w:rFonts w:hint="default"/>
          <w:sz w:val="18"/>
          <w:szCs w:val="24"/>
          <w:lang w:val="zh-CN"/>
        </w:rPr>
        <w:t>ERP</w:t>
      </w:r>
      <w:r>
        <w:rPr>
          <w:rFonts w:hint="eastAsia" w:ascii="宋体"/>
          <w:sz w:val="18"/>
          <w:szCs w:val="24"/>
          <w:lang w:val="zh-CN"/>
        </w:rPr>
        <w:t>系统管理、MES系统管理、安全消防管理、</w:t>
      </w:r>
      <w:r>
        <w:rPr>
          <w:rFonts w:hint="default"/>
          <w:sz w:val="18"/>
          <w:szCs w:val="24"/>
          <w:lang w:val="zh-CN"/>
        </w:rPr>
        <w:t>OA</w:t>
      </w:r>
      <w:r>
        <w:rPr>
          <w:rFonts w:hint="eastAsia" w:ascii="宋体"/>
          <w:sz w:val="18"/>
          <w:szCs w:val="24"/>
          <w:lang w:val="zh-CN"/>
        </w:rPr>
        <w:t>办公系统等方面的需求，采取请进来、走出去等多种渠道和形式为各层级员工提供培训规划和机会，促进员工与公司共同发展。</w:t>
      </w:r>
    </w:p>
    <w:p>
      <w:pPr>
        <w:pStyle w:val="7"/>
        <w:spacing w:beforeLines="0" w:afterLines="0"/>
        <w:outlineLvl w:val="2"/>
        <w:rPr>
          <w:rFonts w:hint="default"/>
          <w:sz w:val="21"/>
          <w:szCs w:val="24"/>
        </w:rPr>
      </w:pPr>
      <w:r>
        <w:rPr>
          <w:rFonts w:hint="default"/>
          <w:sz w:val="21"/>
          <w:szCs w:val="24"/>
        </w:rPr>
        <w:t>4</w:t>
      </w:r>
      <w:r>
        <w:rPr>
          <w:rFonts w:hint="eastAsia"/>
          <w:sz w:val="21"/>
          <w:szCs w:val="24"/>
        </w:rPr>
        <w:t>、劳务外包情况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十、公司利润分配及资本公积金转增股本情况</w:t>
      </w:r>
    </w:p>
    <w:p>
      <w:pPr>
        <w:spacing w:beforeLines="0" w:afterLines="0"/>
        <w:jc w:val="left"/>
        <w:rPr>
          <w:rFonts w:hint="default"/>
          <w:sz w:val="18"/>
          <w:szCs w:val="24"/>
        </w:rPr>
      </w:pPr>
      <w:r>
        <w:rPr>
          <w:rFonts w:hint="eastAsia"/>
          <w:sz w:val="18"/>
          <w:szCs w:val="24"/>
        </w:rPr>
        <w:t>报告期内利润分配政策，特别是现金分红政策的制定、执行或调整情况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公司报告期内盈利且母公司可供股东分配利润为正但未提出现金红利分配预案</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本报告期利润分配及资本公积金转增股本情况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95"/>
        <w:gridCol w:w="5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每</w:t>
            </w:r>
            <w:r>
              <w:rPr>
                <w:rFonts w:hint="default"/>
                <w:sz w:val="18"/>
                <w:szCs w:val="24"/>
              </w:rPr>
              <w:t>10</w:t>
            </w:r>
            <w:r>
              <w:rPr>
                <w:rFonts w:hint="eastAsia"/>
                <w:sz w:val="18"/>
                <w:szCs w:val="24"/>
              </w:rPr>
              <w:t>股送红股数（股）</w:t>
            </w:r>
          </w:p>
        </w:tc>
        <w:tc>
          <w:tcPr>
            <w:tcW w:w="57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每</w:t>
            </w:r>
            <w:r>
              <w:rPr>
                <w:rFonts w:hint="default"/>
                <w:sz w:val="18"/>
                <w:szCs w:val="24"/>
              </w:rPr>
              <w:t>10</w:t>
            </w:r>
            <w:r>
              <w:rPr>
                <w:rFonts w:hint="eastAsia"/>
                <w:sz w:val="18"/>
                <w:szCs w:val="24"/>
              </w:rPr>
              <w:t>股派息数（元）（含税）</w:t>
            </w:r>
          </w:p>
        </w:tc>
        <w:tc>
          <w:tcPr>
            <w:tcW w:w="577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分配预案的股本基数（股）</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168,605,022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现金分红金额（元）（含税）</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59,011,757.70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以其他方式（如回购股份）现金分红金额（元）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29,999,850.00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现金分红总额（含其他方式）（元）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 xml:space="preserve">89,011,607.70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可分配利润（元）</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254,565,955.29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现金分红总额（含其他方式）占利润分配总额的比例</w:t>
            </w:r>
          </w:p>
        </w:tc>
        <w:tc>
          <w:tcPr>
            <w:tcW w:w="577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本次现金分红情况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ind w:firstLine="90" w:firstLineChars="50"/>
              <w:jc w:val="left"/>
              <w:rPr>
                <w:rFonts w:hint="default"/>
                <w:sz w:val="18"/>
                <w:szCs w:val="24"/>
              </w:rPr>
            </w:pPr>
            <w:r>
              <w:rPr>
                <w:rFonts w:hint="eastAsia"/>
                <w:sz w:val="18"/>
                <w:szCs w:val="24"/>
              </w:rPr>
              <w:t>公司发展阶段属成熟期且无重大资金支出安排的，进行利润分配时，现金分红在本次利润分配中所占比例最低应达到</w:t>
            </w:r>
            <w:r>
              <w:rPr>
                <w:rFonts w:hint="default"/>
                <w:sz w:val="18"/>
                <w:szCs w:val="24"/>
              </w:rPr>
              <w:t>80</w:t>
            </w:r>
            <w:r>
              <w:rPr>
                <w:rFonts w:hint="eastAsia"/>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利润分配或资本公积金转增预案的详细情况说明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ind w:firstLine="180" w:firstLineChars="100"/>
              <w:jc w:val="left"/>
              <w:rPr>
                <w:rFonts w:hint="default"/>
                <w:color w:val="auto"/>
                <w:sz w:val="18"/>
                <w:szCs w:val="24"/>
              </w:rPr>
            </w:pPr>
            <w:r>
              <w:rPr>
                <w:rFonts w:hint="eastAsia"/>
                <w:color w:val="auto"/>
                <w:sz w:val="18"/>
                <w:szCs w:val="24"/>
              </w:rPr>
              <w:t>公司拟</w:t>
            </w:r>
            <w:r>
              <w:rPr>
                <w:rStyle w:val="10"/>
                <w:rFonts w:hint="eastAsia" w:cs="宋体"/>
                <w:color w:val="auto"/>
                <w:sz w:val="18"/>
                <w:szCs w:val="18"/>
              </w:rPr>
              <w:t>以2021年12月31日的总股本扣除公司回购专户中的股份余额为实施权益分派股权登记日登记的基数</w:t>
            </w:r>
            <w:r>
              <w:rPr>
                <w:rFonts w:hint="eastAsia"/>
                <w:color w:val="auto"/>
                <w:sz w:val="18"/>
                <w:szCs w:val="18"/>
              </w:rPr>
              <w:t>，</w:t>
            </w:r>
            <w:r>
              <w:rPr>
                <w:rFonts w:hint="eastAsia"/>
                <w:color w:val="auto"/>
                <w:sz w:val="18"/>
                <w:szCs w:val="24"/>
              </w:rPr>
              <w:t>每</w:t>
            </w:r>
            <w:r>
              <w:rPr>
                <w:rFonts w:hint="default"/>
                <w:color w:val="auto"/>
                <w:sz w:val="18"/>
                <w:szCs w:val="24"/>
              </w:rPr>
              <w:t>10</w:t>
            </w:r>
            <w:r>
              <w:rPr>
                <w:rFonts w:hint="eastAsia"/>
                <w:color w:val="auto"/>
                <w:sz w:val="18"/>
                <w:szCs w:val="24"/>
              </w:rPr>
              <w:t>股派发现金红利</w:t>
            </w:r>
            <w:r>
              <w:rPr>
                <w:rFonts w:hint="default"/>
                <w:color w:val="auto"/>
                <w:sz w:val="18"/>
                <w:szCs w:val="24"/>
              </w:rPr>
              <w:t>3.50</w:t>
            </w:r>
            <w:r>
              <w:rPr>
                <w:rFonts w:hint="eastAsia"/>
                <w:color w:val="auto"/>
                <w:sz w:val="18"/>
                <w:szCs w:val="24"/>
              </w:rPr>
              <w:t>元（含税），剩余未分配利润滚存至以后年度分配，本年度不送红股，不以资本公积转增股本。截至本次董事会召开之日，公司总股本为</w:t>
            </w:r>
            <w:r>
              <w:rPr>
                <w:rFonts w:hint="default"/>
                <w:color w:val="auto"/>
                <w:sz w:val="18"/>
                <w:szCs w:val="24"/>
              </w:rPr>
              <w:t>169,032,648</w:t>
            </w:r>
            <w:r>
              <w:rPr>
                <w:rFonts w:hint="eastAsia"/>
                <w:color w:val="auto"/>
                <w:sz w:val="18"/>
                <w:szCs w:val="24"/>
              </w:rPr>
              <w:t>股，扣除公司回购专户的股份余额</w:t>
            </w:r>
            <w:r>
              <w:rPr>
                <w:rFonts w:hint="default"/>
                <w:color w:val="auto"/>
                <w:sz w:val="18"/>
                <w:szCs w:val="24"/>
              </w:rPr>
              <w:t>427,626</w:t>
            </w:r>
            <w:r>
              <w:rPr>
                <w:rFonts w:hint="eastAsia"/>
                <w:color w:val="auto"/>
                <w:sz w:val="18"/>
                <w:szCs w:val="24"/>
              </w:rPr>
              <w:t>股后，应分配股份数为</w:t>
            </w:r>
            <w:r>
              <w:rPr>
                <w:rFonts w:hint="default"/>
                <w:color w:val="auto"/>
                <w:sz w:val="18"/>
                <w:szCs w:val="24"/>
              </w:rPr>
              <w:t>168,605,022</w:t>
            </w:r>
            <w:r>
              <w:rPr>
                <w:rFonts w:hint="eastAsia"/>
                <w:color w:val="auto"/>
                <w:sz w:val="18"/>
                <w:szCs w:val="24"/>
              </w:rPr>
              <w:t>股，</w:t>
            </w:r>
            <w:r>
              <w:rPr>
                <w:rStyle w:val="10"/>
                <w:rFonts w:hint="eastAsia" w:cs="宋体"/>
                <w:color w:val="auto"/>
                <w:sz w:val="18"/>
                <w:szCs w:val="18"/>
              </w:rPr>
              <w:t>共派发现金红利为59,011,757.70元（含税）</w:t>
            </w:r>
            <w:r>
              <w:rPr>
                <w:rFonts w:hint="eastAsia"/>
                <w:color w:val="auto"/>
                <w:sz w:val="18"/>
                <w:szCs w:val="24"/>
              </w:rPr>
              <w:t>。本次利润分配方案实施前，若公司总股本发生变动，将按照总额不变的原则对分配比例进行调整。</w:t>
            </w:r>
            <w:r>
              <w:rPr>
                <w:rFonts w:hint="default"/>
                <w:color w:val="auto"/>
                <w:sz w:val="18"/>
                <w:szCs w:val="24"/>
              </w:rPr>
              <w:t xml:space="preserve"> </w:t>
            </w:r>
          </w:p>
          <w:p>
            <w:pPr>
              <w:spacing w:beforeLines="0" w:afterLines="0"/>
              <w:ind w:firstLine="180" w:firstLineChars="100"/>
              <w:jc w:val="left"/>
              <w:rPr>
                <w:rFonts w:hint="default"/>
                <w:color w:val="FF0000"/>
                <w:sz w:val="18"/>
                <w:szCs w:val="24"/>
              </w:rPr>
            </w:pPr>
            <w:r>
              <w:rPr>
                <w:rFonts w:hint="eastAsia"/>
                <w:color w:val="auto"/>
                <w:sz w:val="18"/>
                <w:szCs w:val="24"/>
              </w:rPr>
              <w:t>本年度公司现金分红比例占合并报表中归属于上市公司普通股股东的净利润的比例为</w:t>
            </w:r>
            <w:r>
              <w:rPr>
                <w:rFonts w:hint="default"/>
                <w:color w:val="auto"/>
                <w:sz w:val="18"/>
                <w:szCs w:val="24"/>
              </w:rPr>
              <w:t>96.75%</w:t>
            </w:r>
            <w:r>
              <w:rPr>
                <w:rFonts w:hint="eastAsia"/>
                <w:color w:val="auto"/>
                <w:sz w:val="18"/>
                <w:szCs w:val="24"/>
              </w:rPr>
              <w:t>。根据《深圳证券交易所上市公司回购股份实施细则》第七条：上市公司以现金为对价，采用集中竞价方式、要约方式回购股份的，当年已实施的股份回购金额视同现金分红，纳入该年度现金分红的相关比例计算。</w:t>
            </w:r>
            <w:r>
              <w:rPr>
                <w:rFonts w:hint="default"/>
                <w:color w:val="auto"/>
                <w:sz w:val="18"/>
                <w:szCs w:val="24"/>
              </w:rPr>
              <w:t>2021</w:t>
            </w:r>
            <w:r>
              <w:rPr>
                <w:rFonts w:hint="eastAsia"/>
                <w:color w:val="auto"/>
                <w:sz w:val="18"/>
                <w:szCs w:val="24"/>
              </w:rPr>
              <w:t>年度，公司已累计使用自有资金</w:t>
            </w:r>
            <w:r>
              <w:rPr>
                <w:rFonts w:hint="default"/>
                <w:color w:val="auto"/>
                <w:sz w:val="18"/>
                <w:szCs w:val="24"/>
              </w:rPr>
              <w:t>29,999,850</w:t>
            </w:r>
            <w:r>
              <w:rPr>
                <w:rFonts w:hint="eastAsia"/>
                <w:color w:val="auto"/>
                <w:sz w:val="18"/>
                <w:szCs w:val="24"/>
              </w:rPr>
              <w:t>元（不含手续费）回购公司股份。本次视同现金分红总额为</w:t>
            </w:r>
            <w:r>
              <w:rPr>
                <w:rFonts w:hint="default"/>
                <w:color w:val="auto"/>
                <w:sz w:val="18"/>
                <w:szCs w:val="24"/>
              </w:rPr>
              <w:t xml:space="preserve">89,011,607.70 </w:t>
            </w:r>
            <w:r>
              <w:rPr>
                <w:rFonts w:hint="eastAsia"/>
                <w:color w:val="auto"/>
                <w:sz w:val="18"/>
                <w:szCs w:val="24"/>
              </w:rPr>
              <w:t>元，占合并报表中归属于上市公司普通股股东的净利润的比例为</w:t>
            </w:r>
            <w:r>
              <w:rPr>
                <w:rFonts w:hint="default"/>
                <w:color w:val="auto"/>
                <w:sz w:val="18"/>
                <w:szCs w:val="24"/>
              </w:rPr>
              <w:t>145.94%</w:t>
            </w:r>
            <w:r>
              <w:rPr>
                <w:rFonts w:hint="eastAsia"/>
                <w:color w:val="auto"/>
                <w:sz w:val="18"/>
                <w:szCs w:val="24"/>
              </w:rPr>
              <w:t>。</w:t>
            </w:r>
          </w:p>
        </w:tc>
      </w:tr>
    </w:tbl>
    <w:p>
      <w:pPr>
        <w:pStyle w:val="6"/>
        <w:spacing w:beforeLines="0" w:afterLines="0"/>
        <w:outlineLvl w:val="1"/>
        <w:rPr>
          <w:rFonts w:hint="default"/>
          <w:sz w:val="24"/>
          <w:szCs w:val="24"/>
        </w:rPr>
      </w:pPr>
      <w:r>
        <w:rPr>
          <w:rFonts w:hint="eastAsia"/>
          <w:sz w:val="24"/>
          <w:szCs w:val="24"/>
        </w:rPr>
        <w:t>十一、公司股权激励计划、员工持股计划或其他员工激励措施的实施情况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1</w:t>
      </w:r>
      <w:r>
        <w:rPr>
          <w:rFonts w:hint="eastAsia"/>
          <w:sz w:val="21"/>
          <w:szCs w:val="24"/>
        </w:rPr>
        <w:t>、股权激励</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1、2018年限制性股票激励计划情况：</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1）公司分别于2021年11月24日、2021年12月10日，召开了第四届董事会第七次会议、第四届监事会第六次会议及2021年第三次临时股东大会审议通过了《关于2018年限制性股票激励计划第三个解锁期解锁条件成就的议案》、《关于调整限制性股票回购价格的议案》、《关于回购注销部分限制性股票的议案》等议案。经董事会审议，认为公司本次股权激励计划第三个解除限售期解除限售条件已成就，同意为激励对象统一办理符合解除限售条件的限制性股票的解除限售事宜。同时，董事会同意将已不符合激励条件的激励对象已获授但尚未解除限售的限制性股票153,352股进行回购注销。</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2、2021年限制性股票激励计划情况：</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1）2021年9月28日，公司分别召开了第四届董事会第五次会议和第四届监事会第四次会议，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对此发表了独立意见。</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2）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3）2021年10月14日，公司召开2021年第二次临时股东大会，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向全体股东公开征集了委托投票权。</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4）2021年10月27日，公司召开第四届董事会第六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公司独立董事对此发表了独立意见。</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5）2021年10月27日，公司召开第四届监事会第五次会议审议通过了《关于调整公司2021年限制性股票激励计划相关事项的议案》、《关于向激励对象授予限制性股票的议案》，并出具《青岛伟隆阀门股份有限公司监事会关于公司2021年限制性股票激励计划激励对象名单（调整后）的核查意见》，监事会认为激励计划规定的授予条件已经成就，同意以2021年10月28日为授予日，向符合条件的80名激励对象授予272万股限制性股票，授予价格为5.00元/股。</w:t>
      </w:r>
    </w:p>
    <w:p>
      <w:pPr>
        <w:spacing w:beforeLines="0" w:afterLines="0"/>
        <w:jc w:val="left"/>
        <w:rPr>
          <w:rFonts w:hint="default"/>
          <w:sz w:val="18"/>
          <w:szCs w:val="24"/>
        </w:rPr>
      </w:pPr>
      <w:r>
        <w:rPr>
          <w:rFonts w:hint="eastAsia"/>
          <w:sz w:val="18"/>
          <w:szCs w:val="24"/>
        </w:rPr>
        <w:t>公司董事、高级管理人员获得的股权激励情况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单位：股</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5"/>
        <w:gridCol w:w="679"/>
        <w:gridCol w:w="6"/>
        <w:gridCol w:w="683"/>
        <w:gridCol w:w="683"/>
        <w:gridCol w:w="683"/>
        <w:gridCol w:w="683"/>
        <w:gridCol w:w="683"/>
        <w:gridCol w:w="682"/>
        <w:gridCol w:w="682"/>
        <w:gridCol w:w="683"/>
        <w:gridCol w:w="683"/>
        <w:gridCol w:w="683"/>
        <w:gridCol w:w="683"/>
        <w:gridCol w:w="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姓名</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职务</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年初持有股票期权数量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报告期新授予股票期权数量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报告期内可行权股数</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报告期内已行权股数</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报告期内已行权股数行权价格（元</w:t>
            </w:r>
            <w:r>
              <w:rPr>
                <w:rFonts w:hint="default"/>
                <w:sz w:val="18"/>
                <w:szCs w:val="24"/>
              </w:rPr>
              <w:t>/</w:t>
            </w:r>
            <w:r>
              <w:rPr>
                <w:rFonts w:hint="eastAsia"/>
                <w:sz w:val="18"/>
                <w:szCs w:val="24"/>
              </w:rPr>
              <w:t>股）</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期末持有股票期权数量</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报告期末市价（元</w:t>
            </w:r>
            <w:r>
              <w:rPr>
                <w:rFonts w:hint="default"/>
                <w:sz w:val="18"/>
                <w:szCs w:val="24"/>
              </w:rPr>
              <w:t>/</w:t>
            </w:r>
            <w:r>
              <w:rPr>
                <w:rFonts w:hint="eastAsia"/>
                <w:sz w:val="18"/>
                <w:szCs w:val="24"/>
              </w:rPr>
              <w:t>股）</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期初持有限制性股票数量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本期已解锁股份数量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报告期新授予限制性股票数量</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限制性股票的授予价格（元</w:t>
            </w:r>
            <w:r>
              <w:rPr>
                <w:rFonts w:hint="default"/>
                <w:sz w:val="18"/>
                <w:szCs w:val="24"/>
              </w:rPr>
              <w:t>/</w:t>
            </w:r>
            <w:r>
              <w:rPr>
                <w:rFonts w:hint="eastAsia"/>
                <w:sz w:val="18"/>
                <w:szCs w:val="24"/>
              </w:rPr>
              <w:t>股）</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期末持有限制性股票数量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董事、总经理</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迟娜娜</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董事、财务总监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刘克平</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董事会秘书、副总经理</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9,280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高峰</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副总经理</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张会亭</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研发总监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37,120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郭成尼</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国际销售总监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37,120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渠汇成</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生产总监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王兆健</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品质总监</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17,400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13,920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68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6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179,800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143,840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640,000</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6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783,840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备注（如有）</w:t>
            </w:r>
          </w:p>
        </w:tc>
        <w:tc>
          <w:tcPr>
            <w:tcW w:w="8200" w:type="dxa"/>
            <w:gridSpan w:val="1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w:t>
            </w:r>
            <w:r>
              <w:rPr>
                <w:rFonts w:hint="default"/>
                <w:sz w:val="18"/>
                <w:szCs w:val="24"/>
              </w:rPr>
              <w:t>2018</w:t>
            </w:r>
            <w:r>
              <w:rPr>
                <w:rFonts w:hint="eastAsia"/>
                <w:sz w:val="18"/>
                <w:szCs w:val="24"/>
              </w:rPr>
              <w:t>年限制性股票激励计划情况：</w:t>
            </w:r>
          </w:p>
          <w:p>
            <w:pPr>
              <w:spacing w:beforeLines="0" w:afterLines="0"/>
              <w:jc w:val="left"/>
              <w:rPr>
                <w:rFonts w:hint="default"/>
                <w:sz w:val="18"/>
                <w:szCs w:val="24"/>
              </w:rPr>
            </w:pPr>
            <w:r>
              <w:rPr>
                <w:rFonts w:hint="eastAsia"/>
                <w:sz w:val="18"/>
                <w:szCs w:val="24"/>
              </w:rPr>
              <w:t>（</w:t>
            </w:r>
            <w:r>
              <w:rPr>
                <w:rFonts w:hint="default"/>
                <w:sz w:val="18"/>
                <w:szCs w:val="24"/>
              </w:rPr>
              <w:t>1</w:t>
            </w:r>
            <w:r>
              <w:rPr>
                <w:rFonts w:hint="eastAsia"/>
                <w:sz w:val="18"/>
                <w:szCs w:val="24"/>
              </w:rPr>
              <w:t>）公司分别于</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日，召开了第四届董事会第七次会议、第四届监事会第六次会议及</w:t>
            </w:r>
            <w:r>
              <w:rPr>
                <w:rFonts w:hint="default"/>
                <w:sz w:val="18"/>
                <w:szCs w:val="24"/>
              </w:rPr>
              <w:t>2021</w:t>
            </w:r>
            <w:r>
              <w:rPr>
                <w:rFonts w:hint="eastAsia"/>
                <w:sz w:val="18"/>
                <w:szCs w:val="24"/>
              </w:rPr>
              <w:t>年第三次临时股东大会审议通过了《关于</w:t>
            </w:r>
            <w:r>
              <w:rPr>
                <w:rFonts w:hint="default"/>
                <w:sz w:val="18"/>
                <w:szCs w:val="24"/>
              </w:rPr>
              <w:t>2018</w:t>
            </w:r>
            <w:r>
              <w:rPr>
                <w:rFonts w:hint="eastAsia"/>
                <w:sz w:val="18"/>
                <w:szCs w:val="24"/>
              </w:rPr>
              <w:t>年限制性股票激励计划第三个解锁期解锁条件成就的议案》《关于回购注销部分限制性股票的议案》等议案。公司本次股权激励计划第三个解除限售期解除限售条件已成就，同意为激励对象统一办理符合解除限售条件的限制性股票的解除限售事宜。同时，董事会同意将已不符合激励条件的激励对象已获授但尚未解除限售的限制性股票</w:t>
            </w:r>
            <w:r>
              <w:rPr>
                <w:rFonts w:hint="default"/>
                <w:sz w:val="18"/>
                <w:szCs w:val="24"/>
              </w:rPr>
              <w:t>153,352</w:t>
            </w:r>
            <w:r>
              <w:rPr>
                <w:rFonts w:hint="eastAsia"/>
                <w:sz w:val="18"/>
                <w:szCs w:val="24"/>
              </w:rPr>
              <w:t>股进行回购注销。公司董事会秘书、副总经理刘克平持有的</w:t>
            </w:r>
            <w:r>
              <w:rPr>
                <w:rFonts w:hint="default"/>
                <w:sz w:val="18"/>
                <w:szCs w:val="24"/>
              </w:rPr>
              <w:t>11,600</w:t>
            </w:r>
            <w:r>
              <w:rPr>
                <w:rFonts w:hint="eastAsia"/>
                <w:sz w:val="18"/>
                <w:szCs w:val="24"/>
              </w:rPr>
              <w:t>股激励股份，研发总监张会亭持有的</w:t>
            </w:r>
            <w:r>
              <w:rPr>
                <w:rFonts w:hint="default"/>
                <w:sz w:val="18"/>
                <w:szCs w:val="24"/>
              </w:rPr>
              <w:t>46,400</w:t>
            </w:r>
            <w:r>
              <w:rPr>
                <w:rFonts w:hint="eastAsia"/>
                <w:sz w:val="18"/>
                <w:szCs w:val="24"/>
              </w:rPr>
              <w:t>股激励股份，国际销售总监郭成尼持有的</w:t>
            </w:r>
            <w:r>
              <w:rPr>
                <w:rFonts w:hint="default"/>
                <w:sz w:val="18"/>
                <w:szCs w:val="24"/>
              </w:rPr>
              <w:t>46,400</w:t>
            </w:r>
            <w:r>
              <w:rPr>
                <w:rFonts w:hint="eastAsia"/>
                <w:sz w:val="18"/>
                <w:szCs w:val="24"/>
              </w:rPr>
              <w:t>股激励股份，生产总监渠汇成持有的</w:t>
            </w:r>
            <w:r>
              <w:rPr>
                <w:rFonts w:hint="default"/>
                <w:sz w:val="18"/>
                <w:szCs w:val="24"/>
              </w:rPr>
              <w:t>58,000</w:t>
            </w:r>
            <w:r>
              <w:rPr>
                <w:rFonts w:hint="eastAsia"/>
                <w:sz w:val="18"/>
                <w:szCs w:val="24"/>
              </w:rPr>
              <w:t>股激励股份以及品质总监王兆健持有的</w:t>
            </w:r>
            <w:r>
              <w:rPr>
                <w:rFonts w:hint="default"/>
                <w:sz w:val="18"/>
                <w:szCs w:val="24"/>
              </w:rPr>
              <w:t>17,400</w:t>
            </w:r>
            <w:r>
              <w:rPr>
                <w:rFonts w:hint="eastAsia"/>
                <w:sz w:val="18"/>
                <w:szCs w:val="24"/>
              </w:rPr>
              <w:t>股激励股份的</w:t>
            </w:r>
            <w:r>
              <w:rPr>
                <w:rFonts w:hint="default"/>
                <w:sz w:val="18"/>
                <w:szCs w:val="24"/>
              </w:rPr>
              <w:t>80%</w:t>
            </w:r>
            <w:r>
              <w:rPr>
                <w:rFonts w:hint="eastAsia"/>
                <w:sz w:val="18"/>
                <w:szCs w:val="24"/>
              </w:rPr>
              <w:t>已成功办理解除限售条件业务，剩余</w:t>
            </w:r>
            <w:r>
              <w:rPr>
                <w:rFonts w:hint="default"/>
                <w:sz w:val="18"/>
                <w:szCs w:val="24"/>
              </w:rPr>
              <w:t>20%</w:t>
            </w:r>
            <w:r>
              <w:rPr>
                <w:rFonts w:hint="eastAsia"/>
                <w:sz w:val="18"/>
                <w:szCs w:val="24"/>
              </w:rPr>
              <w:t>已成功回购注销。</w:t>
            </w:r>
          </w:p>
          <w:p>
            <w:pPr>
              <w:spacing w:beforeLines="0" w:afterLines="0"/>
              <w:jc w:val="left"/>
              <w:rPr>
                <w:rFonts w:hint="default"/>
                <w:sz w:val="18"/>
                <w:szCs w:val="24"/>
              </w:rPr>
            </w:pPr>
            <w:r>
              <w:rPr>
                <w:rFonts w:hint="default"/>
                <w:sz w:val="18"/>
                <w:szCs w:val="24"/>
              </w:rPr>
              <w:t>2</w:t>
            </w:r>
            <w:r>
              <w:rPr>
                <w:rFonts w:hint="eastAsia"/>
                <w:sz w:val="18"/>
                <w:szCs w:val="24"/>
              </w:rPr>
              <w:t>、</w:t>
            </w:r>
            <w:r>
              <w:rPr>
                <w:rFonts w:hint="default"/>
                <w:sz w:val="18"/>
                <w:szCs w:val="24"/>
              </w:rPr>
              <w:t>2021</w:t>
            </w:r>
            <w:r>
              <w:rPr>
                <w:rFonts w:hint="eastAsia"/>
                <w:sz w:val="18"/>
                <w:szCs w:val="24"/>
              </w:rPr>
              <w:t>年限制性股票激励计划情况：</w:t>
            </w:r>
          </w:p>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27</w:t>
            </w:r>
            <w:r>
              <w:rPr>
                <w:rFonts w:hint="eastAsia"/>
                <w:sz w:val="18"/>
                <w:szCs w:val="24"/>
              </w:rPr>
              <w:t>日，公司召开第四届董事会第六次会议、第四届监事会第五次会议审议通过了《关于调整公司</w:t>
            </w:r>
            <w:r>
              <w:rPr>
                <w:rFonts w:hint="default"/>
                <w:sz w:val="18"/>
                <w:szCs w:val="24"/>
              </w:rPr>
              <w:t>2021</w:t>
            </w:r>
            <w:r>
              <w:rPr>
                <w:rFonts w:hint="eastAsia"/>
                <w:sz w:val="18"/>
                <w:szCs w:val="24"/>
              </w:rPr>
              <w:t>年限制性股票激励计划相关事项的议案》、《关于向激励对象授予限制性股票的议案》，并出具《青岛伟隆阀门股份有限公司监事会关于公司</w:t>
            </w:r>
            <w:r>
              <w:rPr>
                <w:rFonts w:hint="default"/>
                <w:sz w:val="18"/>
                <w:szCs w:val="24"/>
              </w:rPr>
              <w:t>2021</w:t>
            </w:r>
            <w:r>
              <w:rPr>
                <w:rFonts w:hint="eastAsia"/>
                <w:sz w:val="18"/>
                <w:szCs w:val="24"/>
              </w:rPr>
              <w:t>年限制性股票激励计划激励对象名单（调整后）的核查意见》，同意以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日为授予日，向符合条件的</w:t>
            </w:r>
            <w:r>
              <w:rPr>
                <w:rFonts w:hint="default"/>
                <w:sz w:val="18"/>
                <w:szCs w:val="24"/>
              </w:rPr>
              <w:t>80</w:t>
            </w:r>
            <w:r>
              <w:rPr>
                <w:rFonts w:hint="eastAsia"/>
                <w:sz w:val="18"/>
                <w:szCs w:val="24"/>
              </w:rPr>
              <w:t>名激励对象授予</w:t>
            </w:r>
            <w:r>
              <w:rPr>
                <w:rFonts w:hint="default"/>
                <w:sz w:val="18"/>
                <w:szCs w:val="24"/>
              </w:rPr>
              <w:t>272</w:t>
            </w:r>
            <w:r>
              <w:rPr>
                <w:rFonts w:hint="eastAsia"/>
                <w:sz w:val="18"/>
                <w:szCs w:val="24"/>
              </w:rPr>
              <w:t>万股限制性股票，授予价格为</w:t>
            </w:r>
            <w:r>
              <w:rPr>
                <w:rFonts w:hint="default"/>
                <w:sz w:val="18"/>
                <w:szCs w:val="24"/>
              </w:rPr>
              <w:t>5.00</w:t>
            </w:r>
            <w:r>
              <w:rPr>
                <w:rFonts w:hint="eastAsia"/>
                <w:sz w:val="18"/>
                <w:szCs w:val="24"/>
              </w:rPr>
              <w:t>元</w:t>
            </w:r>
            <w:r>
              <w:rPr>
                <w:rFonts w:hint="default"/>
                <w:sz w:val="18"/>
                <w:szCs w:val="24"/>
              </w:rPr>
              <w:t>/</w:t>
            </w:r>
            <w:r>
              <w:rPr>
                <w:rFonts w:hint="eastAsia"/>
                <w:sz w:val="18"/>
                <w:szCs w:val="24"/>
              </w:rPr>
              <w:t>股。公司向董事、总经理李会君、董事、财务总监迟娜娜、董事会秘书、副总经理刘克平、副总经理高峰、研发总监张会亭、国际销售总监郭成尼、生产总监渠汇成以及品质总监王兆健分别授予限制性股票</w:t>
            </w:r>
            <w:r>
              <w:rPr>
                <w:rFonts w:hint="default"/>
                <w:sz w:val="18"/>
                <w:szCs w:val="24"/>
              </w:rPr>
              <w:t>8</w:t>
            </w:r>
            <w:r>
              <w:rPr>
                <w:rFonts w:hint="eastAsia"/>
                <w:sz w:val="18"/>
                <w:szCs w:val="24"/>
              </w:rPr>
              <w:t>万股，并于</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5</w:t>
            </w:r>
            <w:r>
              <w:rPr>
                <w:rFonts w:hint="eastAsia"/>
                <w:sz w:val="18"/>
                <w:szCs w:val="24"/>
              </w:rPr>
              <w:t>日上市完成。</w:t>
            </w:r>
          </w:p>
        </w:tc>
      </w:tr>
    </w:tbl>
    <w:p>
      <w:pPr>
        <w:spacing w:beforeLines="0" w:afterLines="0"/>
        <w:jc w:val="left"/>
        <w:rPr>
          <w:rFonts w:hint="default"/>
          <w:sz w:val="18"/>
          <w:szCs w:val="24"/>
        </w:rPr>
      </w:pPr>
      <w:r>
        <w:rPr>
          <w:rFonts w:hint="eastAsia"/>
          <w:sz w:val="18"/>
          <w:szCs w:val="24"/>
        </w:rPr>
        <w:t>高级管理人员的考评机制及激励情况</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1、为了公司高级管理人员更好的履行职责，明确权利和义务，公司建立了健全的绩效考核管理体系，对高级管理人员实行薪酬与工作绩效及公司经营目标的完成情况直接挂钩的考评机制。董事会依照公司《绩效管理办法》等考核制度，结合行业薪酬水平，综合经营效益、岗位情况等因素确定，年终对高级管理人员履行职责情况和年度实际业绩进行考评。报告期内，公司高级管理人员能够严格按照《公司法》、《公司章程》及有关法律法规认真履行职责，积极落实公司股东大会和董事会相关决议，在董事会的正确指导下积极调整经营思路，不断加强内部管理。</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2、对高级管理人员、核心技术及业务骨干人员实施股权激励计划。公司股权激励计划的实施，有利于激发管理团队的积极性，提高经营效率，促进公司业绩提升。</w:t>
      </w:r>
    </w:p>
    <w:p>
      <w:pPr>
        <w:autoSpaceDE w:val="0"/>
        <w:autoSpaceDN w:val="0"/>
        <w:adjustRightInd w:val="0"/>
        <w:spacing w:beforeLines="0" w:afterLines="0"/>
        <w:jc w:val="left"/>
        <w:rPr>
          <w:rFonts w:hint="eastAsia" w:ascii="宋体"/>
          <w:sz w:val="18"/>
          <w:szCs w:val="24"/>
          <w:lang w:val="zh-CN"/>
        </w:rPr>
      </w:pPr>
    </w:p>
    <w:p>
      <w:pPr>
        <w:pStyle w:val="7"/>
        <w:spacing w:beforeLines="0" w:afterLines="0"/>
        <w:outlineLvl w:val="2"/>
        <w:rPr>
          <w:rFonts w:hint="default"/>
          <w:sz w:val="21"/>
          <w:szCs w:val="24"/>
        </w:rPr>
      </w:pPr>
      <w:r>
        <w:rPr>
          <w:rFonts w:hint="default"/>
          <w:sz w:val="21"/>
          <w:szCs w:val="24"/>
        </w:rPr>
        <w:t>2</w:t>
      </w:r>
      <w:r>
        <w:rPr>
          <w:rFonts w:hint="eastAsia"/>
          <w:sz w:val="21"/>
          <w:szCs w:val="24"/>
        </w:rPr>
        <w:t>、员工持股计划的实施情况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、其他员工激励措施</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十二、报告期内的内部控制制度建设及实施情况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、内部控制建设及实施情况</w:t>
      </w:r>
    </w:p>
    <w:p>
      <w:pPr>
        <w:autoSpaceDE w:val="0"/>
        <w:autoSpaceDN w:val="0"/>
        <w:adjustRightInd w:val="0"/>
        <w:spacing w:before="0" w:beforeLines="0" w:after="0" w:afterLines="0"/>
        <w:rPr>
          <w:rFonts w:hint="eastAsia" w:ascii="宋体"/>
          <w:sz w:val="18"/>
          <w:szCs w:val="18"/>
          <w:lang w:val="zh-CN"/>
        </w:rPr>
      </w:pPr>
      <w:r>
        <w:rPr>
          <w:rFonts w:hint="eastAsia" w:ascii="宋体"/>
          <w:sz w:val="24"/>
          <w:szCs w:val="24"/>
          <w:lang w:val="zh-CN"/>
        </w:rPr>
        <w:t xml:space="preserve"> </w:t>
      </w:r>
      <w:r>
        <w:rPr>
          <w:rFonts w:hint="eastAsia" w:ascii="宋体"/>
          <w:b/>
          <w:sz w:val="24"/>
          <w:szCs w:val="24"/>
          <w:lang w:val="zh-CN"/>
        </w:rPr>
        <w:t xml:space="preserve"> </w:t>
      </w:r>
      <w:r>
        <w:rPr>
          <w:rFonts w:hint="eastAsia" w:ascii="宋体" w:hAnsi="宋体" w:cs="宋体"/>
          <w:b/>
          <w:sz w:val="18"/>
          <w:szCs w:val="18"/>
          <w:lang w:val="zh-CN"/>
        </w:rPr>
        <w:t xml:space="preserve">  一、重要声明 </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按照企业内部控制规范体系的规定，建立健全和有效实施内部控制，评价其有效性，并如实披露内部控制评价报告是公司董事会的责任。监事会对董事会建立和实施内部控制进行监督。经理层负责组织领导企业内部控制的日常运行。公司董事会、监事会及董事、监事、高级管理人员保证本报告内容不存在任何虚假记载、误导性陈述或重大遗漏，并对报告内容的真实性、准确性和完整性承担个别及连带法律责任。</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公司内部控制的目标是合理保证经营管理合法合规、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 xml:space="preserve">  二、内部控制评价结论</w:t>
      </w:r>
    </w:p>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 xml:space="preserve">    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 </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根据公司非财务报告内部控制重大缺陷认定情况，于内部控制评价报告基准日，公司未发现非财务报告内部控制重大缺陷。</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自内部控制评价报告基准日至内部控制评价报告发出日之间未发生影响内部控制有效性评价结论的因素。</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三、内部控制评价工作情况</w:t>
      </w:r>
    </w:p>
    <w:p>
      <w:pPr>
        <w:autoSpaceDE w:val="0"/>
        <w:autoSpaceDN w:val="0"/>
        <w:adjustRightInd w:val="0"/>
        <w:spacing w:before="0" w:beforeLines="0" w:after="0" w:afterLines="0"/>
        <w:ind w:firstLine="600"/>
        <w:rPr>
          <w:rFonts w:hint="eastAsia" w:ascii="宋体"/>
          <w:sz w:val="18"/>
          <w:szCs w:val="18"/>
          <w:lang w:val="zh-CN"/>
        </w:rPr>
      </w:pPr>
      <w:r>
        <w:rPr>
          <w:rFonts w:hint="eastAsia" w:ascii="宋体" w:hAnsi="宋体" w:cs="宋体"/>
          <w:b/>
          <w:sz w:val="18"/>
          <w:szCs w:val="18"/>
          <w:lang w:val="zh-CN"/>
        </w:rPr>
        <w:t>（一）内部控制评价范围</w:t>
      </w:r>
    </w:p>
    <w:p>
      <w:pPr>
        <w:autoSpaceDE w:val="0"/>
        <w:autoSpaceDN w:val="0"/>
        <w:adjustRightInd w:val="0"/>
        <w:spacing w:before="0" w:beforeLines="0" w:after="0" w:afterLines="0"/>
        <w:ind w:firstLine="450" w:firstLineChars="250"/>
        <w:rPr>
          <w:rFonts w:hint="eastAsia" w:ascii="宋体" w:hAnsi="宋体" w:cs="宋体"/>
          <w:sz w:val="18"/>
          <w:szCs w:val="18"/>
          <w:lang w:val="zh-CN"/>
        </w:rPr>
      </w:pPr>
      <w:r>
        <w:rPr>
          <w:rFonts w:hint="eastAsia" w:ascii="宋体" w:hAnsi="宋体" w:cs="宋体"/>
          <w:sz w:val="18"/>
          <w:szCs w:val="18"/>
          <w:lang w:val="zh-CN"/>
        </w:rPr>
        <w:t xml:space="preserve">公司按照风险导向原则确定纳入评价范围的主要单位、业务和事项以及高风险领域。纳入评价范围的主要单位包括：公司及全资子公司:青岛伟隆流体设备有限公司、莱州伟隆阀门有限公司、伟隆阀门有限公司（英国）、伟隆阀门有限公司（美国）、青岛伟隆五金机械有限公司、青岛即聚机电有限责任公司、青岛卓信检测技术有限责任公司、偉隆（香港）實業有限公司。纳入评价范围单位资产总额占公司合并财务报表资产总额的100%，营业收入合计占公司合并财务报表营业收入总额的100%；纳入评价范围的主要业务和事项包括：公司财务报告的编制与披露、采购和销售、战略发展、组织构架、企业文化、人力资源、投资和筹资、预算、成本费用、采购和销售、对子公司的控制、信息系统一般控制、关联交易、资产、工程项目、安全生产管理、信息、法律、内部监督；重点关注的高风险领域主要包括产品价格波动的风险、采购的原材料价格和质量波动风险、销售的市场竞争风险、国际贸易政策环境风险、汇率变化风险、市场需求变化风险等。 </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上述纳入评价范围的单位、业务和事项以及高风险领域涵盖了公司经营管理的主要方面，不存在重大遗漏。</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（二)内部控制评价工作依据及内部控制缺陷认定标准</w:t>
      </w:r>
    </w:p>
    <w:p>
      <w:pPr>
        <w:autoSpaceDE w:val="0"/>
        <w:autoSpaceDN w:val="0"/>
        <w:adjustRightInd w:val="0"/>
        <w:spacing w:before="0" w:beforeLines="0" w:after="0" w:afterLines="0"/>
        <w:ind w:firstLine="480"/>
        <w:rPr>
          <w:rFonts w:hint="eastAsia" w:ascii="宋体" w:hAnsi="宋体" w:cs="宋体"/>
          <w:sz w:val="18"/>
          <w:szCs w:val="18"/>
          <w:lang w:val="zh-CN"/>
        </w:rPr>
      </w:pPr>
      <w:r>
        <w:rPr>
          <w:rFonts w:hint="eastAsia" w:ascii="宋体" w:hAnsi="宋体" w:cs="宋体"/>
          <w:sz w:val="18"/>
          <w:szCs w:val="18"/>
          <w:lang w:val="zh-CN"/>
        </w:rPr>
        <w:t xml:space="preserve">公司依据企业内部控制规范体系及《企业内部控制基本规范》、《公开发行证券的公司信息披露编报规则第21号——年度内部控制评价报告的一般规定》等法律法规、监管规定及《公司章程》的有关规定，结合公司的实际情况组织开展内部控制评价工作。 </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公司确定的内部控制缺陷认定标准如下：</w:t>
      </w:r>
    </w:p>
    <w:p>
      <w:pPr>
        <w:autoSpaceDE w:val="0"/>
        <w:autoSpaceDN w:val="0"/>
        <w:adjustRightInd w:val="0"/>
        <w:spacing w:before="0" w:beforeLines="0" w:after="0" w:afterLines="0"/>
        <w:rPr>
          <w:rFonts w:hint="eastAsia" w:ascii="宋体"/>
          <w:b/>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1、财务报告内部控制缺陷认定标准</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公司确定的财务报告内部控制缺陷评价的定量标准如下：</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对于财务报告相关的内控缺陷，通过对公司年度财务报表潜在错报或披露事项错报程度进行判定, 以本年度税前利润5%为作为重要性水平判断标准。潜在错报金额＜税前利润的2.5%确定为一般缺陷；税前利润的2.5% ≤潜在错报金额＜税前利润的5%确定为重要缺陷；潜在错报金额≧税前利润的5% 确定为重大缺陷。</w:t>
      </w:r>
    </w:p>
    <w:p>
      <w:pPr>
        <w:autoSpaceDE w:val="0"/>
        <w:autoSpaceDN w:val="0"/>
        <w:adjustRightInd w:val="0"/>
        <w:spacing w:before="0" w:beforeLines="0" w:after="0" w:afterLines="0"/>
        <w:ind w:firstLine="480"/>
        <w:rPr>
          <w:rFonts w:hint="eastAsia" w:ascii="宋体"/>
          <w:sz w:val="18"/>
          <w:szCs w:val="18"/>
          <w:lang w:val="zh-CN"/>
        </w:rPr>
      </w:pPr>
    </w:p>
    <w:tbl>
      <w:tblPr>
        <w:tblStyle w:val="4"/>
        <w:tblW w:w="0" w:type="auto"/>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
      <w:tblGrid>
        <w:gridCol w:w="2197"/>
        <w:gridCol w:w="2197"/>
        <w:gridCol w:w="2197"/>
        <w:gridCol w:w="21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缺陷性质</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一般缺陷</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重要缺陷</w:t>
            </w:r>
          </w:p>
        </w:tc>
        <w:tc>
          <w:tcPr>
            <w:tcW w:w="2198"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重大缺陷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定量标准（影响程度）</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 xml:space="preserve">潜在错报金额＜税前利润的2.5% </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税前利润的2.5% ≤潜在错报金额＜税前利润的5%</w:t>
            </w:r>
          </w:p>
        </w:tc>
        <w:tc>
          <w:tcPr>
            <w:tcW w:w="2198"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潜在错报金额≧税前利润的5%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关系</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或</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且</w:t>
            </w:r>
          </w:p>
        </w:tc>
        <w:tc>
          <w:tcPr>
            <w:tcW w:w="2198"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定性标准（可能性）</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不采取任何行动导致潜在错报可能性极小</w:t>
            </w:r>
          </w:p>
        </w:tc>
        <w:tc>
          <w:tcPr>
            <w:tcW w:w="2197"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不采取任何行动导致潜在错报可能性不大</w:t>
            </w:r>
          </w:p>
        </w:tc>
        <w:tc>
          <w:tcPr>
            <w:tcW w:w="2198"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不采取任何行动导致潜在错报可能性极大</w:t>
            </w:r>
          </w:p>
        </w:tc>
      </w:tr>
    </w:tbl>
    <w:p>
      <w:pPr>
        <w:autoSpaceDE w:val="0"/>
        <w:autoSpaceDN w:val="0"/>
        <w:adjustRightInd w:val="0"/>
        <w:spacing w:before="156" w:beforeLines="0" w:after="0" w:afterLines="0"/>
        <w:ind w:firstLine="480"/>
        <w:rPr>
          <w:rFonts w:hint="eastAsia" w:ascii="宋体"/>
          <w:sz w:val="18"/>
          <w:szCs w:val="18"/>
          <w:lang w:val="zh-CN"/>
        </w:rPr>
      </w:pPr>
      <w:r>
        <w:rPr>
          <w:rFonts w:hint="eastAsia" w:ascii="宋体" w:hAnsi="宋体" w:cs="宋体"/>
          <w:sz w:val="18"/>
          <w:szCs w:val="18"/>
          <w:lang w:val="zh-CN"/>
        </w:rPr>
        <w:t>公司确定的财务报告内部控制缺陷评价的定性标准如下：</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以假设不采取任何措施该缺陷导致潜在财务错报大小作为判断标准。不采取任何行动导致潜在错报可能性极小确定为一般缺陷；不采取任何行动导致潜在错报可能性不大确定为重要缺陷；不采取任何行动导致潜在错报可能性极大确定为重大缺陷。当存在以下迹象时，增加了重大缺陷的可能性，因此会特别关注以下情况：重述以前公布的财务报表，以更正由于舞弊或错误导致的重大错报；当期财务报表存在重大错报，而在内部控制运行过程中未能发现该错报。</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w:t>
      </w:r>
      <w:r>
        <w:rPr>
          <w:rFonts w:hint="eastAsia" w:ascii="宋体" w:hAnsi="宋体" w:cs="宋体"/>
          <w:b/>
          <w:sz w:val="18"/>
          <w:szCs w:val="18"/>
          <w:lang w:val="zh-CN"/>
        </w:rPr>
        <w:t>2、非财务报告内部控制缺陷认定标准</w:t>
      </w:r>
    </w:p>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 xml:space="preserve">    公司确定的非财务报告内部控制缺陷评价的定量标准如下：</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以本年度税前利润5%为作为重要性水平判断标准。对于非财务报告相关的内控缺陷，通过对本年公司资产、收入、利润等经济损失程度，或偏离（消极偏离，即未能实现）经营目标的程度进行判定。经济损失＜税前利润的2.5%确定为一般缺陷；税前利润的2.5% ≤经济损失＜税前利润的5%确定为重要缺陷；经济损失≧税前利润的5% 确定为重大缺陷。</w:t>
      </w:r>
    </w:p>
    <w:tbl>
      <w:tblPr>
        <w:tblStyle w:val="4"/>
        <w:tblW w:w="0" w:type="auto"/>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10" w:type="dxa"/>
          <w:left w:w="10" w:type="dxa"/>
          <w:bottom w:w="10" w:type="dxa"/>
          <w:right w:w="10" w:type="dxa"/>
        </w:tblCellMar>
      </w:tblPr>
      <w:tblGrid>
        <w:gridCol w:w="2224"/>
        <w:gridCol w:w="2224"/>
        <w:gridCol w:w="2224"/>
        <w:gridCol w:w="22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缺陷性质</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一般缺陷</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重要缺陷</w:t>
            </w:r>
          </w:p>
        </w:tc>
        <w:tc>
          <w:tcPr>
            <w:tcW w:w="222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重大缺陷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定量标准（影响程度）</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经济损失＜税前利润的2.5%</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税前利润的2.5% ≤经济损失＜税前利润的5%</w:t>
            </w:r>
          </w:p>
        </w:tc>
        <w:tc>
          <w:tcPr>
            <w:tcW w:w="222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hAnsi="宋体" w:cs="宋体"/>
                <w:sz w:val="18"/>
                <w:szCs w:val="18"/>
                <w:lang w:val="zh-CN"/>
              </w:rPr>
            </w:pPr>
            <w:r>
              <w:rPr>
                <w:rFonts w:hint="eastAsia" w:ascii="宋体" w:hAnsi="宋体" w:cs="宋体"/>
                <w:sz w:val="18"/>
                <w:szCs w:val="18"/>
                <w:lang w:val="zh-CN"/>
              </w:rPr>
              <w:t>经济损失≧税前利润的5%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0" w:type="dxa"/>
            <w:left w:w="10" w:type="dxa"/>
            <w:bottom w:w="10" w:type="dxa"/>
            <w:right w:w="10" w:type="dxa"/>
          </w:tblCellMar>
        </w:tblPrEx>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关系</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或</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且</w:t>
            </w:r>
          </w:p>
        </w:tc>
        <w:tc>
          <w:tcPr>
            <w:tcW w:w="222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18"/>
                <w:lang w:val="zh-CN"/>
              </w:rPr>
            </w:pPr>
            <w:r>
              <w:rPr>
                <w:rFonts w:hint="eastAsia" w:ascii="宋体" w:hAnsi="宋体" w:cs="宋体"/>
                <w:sz w:val="18"/>
                <w:szCs w:val="18"/>
                <w:lang w:val="zh-CN"/>
              </w:rPr>
              <w:t>定性标准（可能性）</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造成经济损失、经营目标无法实现的可能性极小</w:t>
            </w:r>
          </w:p>
        </w:tc>
        <w:tc>
          <w:tcPr>
            <w:tcW w:w="2224"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造成经济损失、经营目标无法实现的可能性不大</w:t>
            </w:r>
          </w:p>
        </w:tc>
        <w:tc>
          <w:tcPr>
            <w:tcW w:w="2225" w:type="dxa"/>
            <w:tcBorders>
              <w:top w:val="single" w:color="auto" w:sz="6" w:space="0"/>
              <w:left w:val="single" w:color="auto" w:sz="6" w:space="0"/>
              <w:bottom w:val="single" w:color="auto" w:sz="6"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18"/>
                <w:lang w:val="zh-CN"/>
              </w:rPr>
            </w:pPr>
            <w:r>
              <w:rPr>
                <w:rFonts w:hint="eastAsia" w:ascii="宋体" w:hAnsi="宋体" w:cs="宋体"/>
                <w:sz w:val="18"/>
                <w:szCs w:val="18"/>
                <w:lang w:val="zh-CN"/>
              </w:rPr>
              <w:t>造成经济损失、经营目标无法实现的可能性极大</w:t>
            </w:r>
          </w:p>
        </w:tc>
      </w:tr>
    </w:tbl>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公司确定的非财务报告内部控制缺陷评价的定性标准如下：</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以假设不采取任何措施该缺陷导致经济损失可能性大小作为判断标准。不采取任何行动导致造成经济损失、经营目标无法实现的可能性极小确定为一般缺陷；不采取任何行动导致造成经济损失、经营目标无法实现的可能性不大确定为重要缺陷；不采取任何行动导致造成经济损失、经营目标无法实现的可能性极大确定为重大缺陷。当存在以下迹象时，增加了重大缺陷的可能性，因此会特别关注以下情况：审计委员会和内部审计机构对内部控制的监督无效；董事、监事和高级管理人员的任何舞弊且反舞弊政策程序不健全；关联交易控制程序不当；重大投融资等非常规事项控制缺失；某个业务领域频繁地发生相似的重大诉讼案件；弄虚作假违反国家法律法规等。</w:t>
      </w:r>
    </w:p>
    <w:p>
      <w:pPr>
        <w:tabs>
          <w:tab w:val="left" w:pos="360"/>
        </w:tabs>
        <w:autoSpaceDE w:val="0"/>
        <w:autoSpaceDN w:val="0"/>
        <w:adjustRightInd w:val="0"/>
        <w:spacing w:before="0" w:beforeLines="0" w:after="0" w:afterLines="0"/>
        <w:ind w:left="360" w:hanging="360"/>
        <w:rPr>
          <w:rFonts w:hint="eastAsia" w:ascii="宋体"/>
          <w:b/>
          <w:sz w:val="18"/>
          <w:szCs w:val="18"/>
          <w:lang w:val="zh-CN"/>
        </w:rPr>
      </w:pPr>
      <w:r>
        <w:rPr>
          <w:rFonts w:hint="eastAsia" w:ascii="宋体" w:hAnsi="宋体" w:cs="宋体"/>
          <w:b/>
          <w:sz w:val="18"/>
          <w:szCs w:val="18"/>
          <w:lang w:val="zh-CN"/>
        </w:rPr>
        <w:t>内部控制缺陷认定及整改情况</w:t>
      </w:r>
    </w:p>
    <w:p>
      <w:pPr>
        <w:autoSpaceDE w:val="0"/>
        <w:autoSpaceDN w:val="0"/>
        <w:adjustRightInd w:val="0"/>
        <w:spacing w:before="0" w:beforeLines="0" w:after="0" w:afterLines="0"/>
        <w:ind w:left="420"/>
        <w:rPr>
          <w:rFonts w:hint="eastAsia" w:ascii="宋体" w:hAnsi="宋体" w:cs="宋体"/>
          <w:sz w:val="18"/>
          <w:szCs w:val="18"/>
          <w:lang w:val="zh-CN"/>
        </w:rPr>
      </w:pPr>
      <w:r>
        <w:rPr>
          <w:rFonts w:hint="eastAsia" w:ascii="宋体" w:hAnsi="宋体" w:cs="宋体"/>
          <w:sz w:val="18"/>
          <w:szCs w:val="18"/>
          <w:lang w:val="zh-CN"/>
        </w:rPr>
        <w:t xml:space="preserve"> 1、财务报告内部控制缺陷认定及整改情况 </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根据上述财务报告内部控制缺陷的认定标准，报告期内公司不存在财务报告内部控制重大缺陷、重要缺陷。</w:t>
      </w:r>
    </w:p>
    <w:p>
      <w:pPr>
        <w:autoSpaceDE w:val="0"/>
        <w:autoSpaceDN w:val="0"/>
        <w:adjustRightInd w:val="0"/>
        <w:spacing w:before="0" w:beforeLines="0" w:after="0" w:afterLines="0"/>
        <w:ind w:firstLine="480"/>
        <w:rPr>
          <w:rFonts w:hint="eastAsia" w:ascii="宋体" w:hAnsi="宋体" w:cs="宋体"/>
          <w:sz w:val="18"/>
          <w:szCs w:val="18"/>
          <w:lang w:val="zh-CN"/>
        </w:rPr>
      </w:pPr>
      <w:r>
        <w:rPr>
          <w:rFonts w:hint="eastAsia" w:ascii="宋体" w:hAnsi="宋体" w:cs="宋体"/>
          <w:sz w:val="18"/>
          <w:szCs w:val="18"/>
          <w:lang w:val="zh-CN"/>
        </w:rPr>
        <w:t xml:space="preserve">2、非财务报告内部控制缺陷认定及整改情况 </w:t>
      </w:r>
    </w:p>
    <w:p>
      <w:pPr>
        <w:autoSpaceDE w:val="0"/>
        <w:autoSpaceDN w:val="0"/>
        <w:adjustRightInd w:val="0"/>
        <w:spacing w:before="0" w:beforeLines="0" w:after="0" w:afterLines="0"/>
        <w:ind w:firstLine="480"/>
        <w:rPr>
          <w:rFonts w:hint="eastAsia" w:ascii="宋体"/>
          <w:sz w:val="18"/>
          <w:szCs w:val="18"/>
          <w:lang w:val="zh-CN"/>
        </w:rPr>
      </w:pPr>
      <w:r>
        <w:rPr>
          <w:rFonts w:hint="eastAsia" w:ascii="宋体" w:hAnsi="宋体" w:cs="宋体"/>
          <w:sz w:val="18"/>
          <w:szCs w:val="18"/>
          <w:lang w:val="zh-CN"/>
        </w:rPr>
        <w:t>根据上述非财务报告内部控制缺陷的认定标准，报告期内未发现公司非财务报告内部控制重大缺陷、重要缺陷。</w:t>
      </w:r>
    </w:p>
    <w:p>
      <w:pPr>
        <w:autoSpaceDE w:val="0"/>
        <w:autoSpaceDN w:val="0"/>
        <w:adjustRightInd w:val="0"/>
        <w:spacing w:before="0" w:beforeLines="0" w:after="0" w:afterLines="0"/>
        <w:ind w:firstLine="482"/>
        <w:rPr>
          <w:rFonts w:hint="eastAsia" w:ascii="宋体"/>
          <w:sz w:val="18"/>
          <w:szCs w:val="18"/>
          <w:lang w:val="zh-CN"/>
        </w:rPr>
      </w:pPr>
      <w:r>
        <w:rPr>
          <w:rFonts w:hint="eastAsia" w:ascii="宋体" w:hAnsi="宋体" w:cs="宋体"/>
          <w:b/>
          <w:sz w:val="18"/>
          <w:szCs w:val="18"/>
          <w:lang w:val="zh-CN"/>
        </w:rPr>
        <w:t>四、其他内部控制相关重大事项说明</w:t>
      </w:r>
    </w:p>
    <w:p>
      <w:pPr>
        <w:autoSpaceDE w:val="0"/>
        <w:autoSpaceDN w:val="0"/>
        <w:adjustRightInd w:val="0"/>
        <w:spacing w:before="0" w:beforeLines="0" w:after="0" w:afterLines="0"/>
        <w:ind w:firstLine="480"/>
        <w:rPr>
          <w:rFonts w:hint="eastAsia" w:ascii="宋体" w:hAnsi="宋体" w:cs="宋体"/>
          <w:sz w:val="18"/>
          <w:szCs w:val="18"/>
          <w:lang w:val="zh-CN"/>
        </w:rPr>
      </w:pPr>
      <w:r>
        <w:rPr>
          <w:rFonts w:hint="eastAsia" w:ascii="宋体" w:hAnsi="宋体" w:cs="宋体"/>
          <w:sz w:val="18"/>
          <w:szCs w:val="18"/>
          <w:lang w:val="zh-CN"/>
        </w:rPr>
        <w:t xml:space="preserve">报告期内，公司无可能对投资者理解内部控制评价报告、评价内部控制情况或进行投资决策产生重大影响的其他内部控制事项。 </w:t>
      </w:r>
    </w:p>
    <w:p>
      <w:pPr>
        <w:pStyle w:val="7"/>
        <w:spacing w:beforeLines="0" w:afterLines="0"/>
        <w:outlineLvl w:val="2"/>
        <w:rPr>
          <w:rFonts w:hint="default"/>
          <w:sz w:val="21"/>
          <w:szCs w:val="24"/>
        </w:rPr>
      </w:pPr>
      <w:r>
        <w:rPr>
          <w:rFonts w:hint="default"/>
          <w:sz w:val="21"/>
          <w:szCs w:val="24"/>
        </w:rPr>
        <w:t>2</w:t>
      </w:r>
      <w:r>
        <w:rPr>
          <w:rFonts w:hint="eastAsia"/>
          <w:sz w:val="21"/>
          <w:szCs w:val="24"/>
        </w:rPr>
        <w:t>、报告期内发现的内部控制重大缺陷的具体情况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十三、公司报告期内对子公司的管理控制情况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6"/>
        <w:gridCol w:w="1367"/>
        <w:gridCol w:w="1367"/>
        <w:gridCol w:w="1367"/>
        <w:gridCol w:w="1368"/>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公司名称</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整合计划</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整合进展</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整合中遇到的问题</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已采取的解决措施</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解决进展</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后续解决计划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Company Limited</w:t>
            </w:r>
            <w:r>
              <w:rPr>
                <w:rFonts w:hint="eastAsia"/>
                <w:sz w:val="18"/>
                <w:szCs w:val="24"/>
              </w:rPr>
              <w:t>（英国公司）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LLC</w:t>
            </w:r>
            <w:r>
              <w:rPr>
                <w:rFonts w:hint="eastAsia"/>
                <w:sz w:val="18"/>
                <w:szCs w:val="24"/>
              </w:rPr>
              <w:t>（美国公司）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青岛即聚机电有限责任公司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青岛卓信检测技术有限责任公司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偉隆（香港）實業有限公司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pStyle w:val="6"/>
        <w:spacing w:beforeLines="0" w:afterLines="0"/>
        <w:outlineLvl w:val="1"/>
        <w:rPr>
          <w:rFonts w:hint="default"/>
          <w:sz w:val="24"/>
          <w:szCs w:val="24"/>
        </w:rPr>
      </w:pPr>
      <w:r>
        <w:rPr>
          <w:rFonts w:hint="eastAsia"/>
          <w:sz w:val="24"/>
          <w:szCs w:val="24"/>
        </w:rPr>
        <w:t>十四、内部控制自我评价报告或内部控制审计报告</w:t>
      </w:r>
    </w:p>
    <w:p>
      <w:pPr>
        <w:pStyle w:val="7"/>
        <w:spacing w:beforeLines="0" w:afterLines="0"/>
        <w:outlineLvl w:val="2"/>
        <w:rPr>
          <w:rFonts w:hint="default"/>
          <w:sz w:val="21"/>
          <w:szCs w:val="24"/>
        </w:rPr>
      </w:pPr>
      <w:r>
        <w:rPr>
          <w:rFonts w:hint="default"/>
          <w:sz w:val="21"/>
          <w:szCs w:val="24"/>
        </w:rPr>
        <w:t>1</w:t>
      </w:r>
      <w:r>
        <w:rPr>
          <w:rFonts w:hint="eastAsia"/>
          <w:sz w:val="21"/>
          <w:szCs w:val="24"/>
        </w:rPr>
        <w:t>、内控自我评价报告</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4"/>
        <w:gridCol w:w="3323"/>
        <w:gridCol w:w="3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内部控制评价报告全文披露日期</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r>
              <w:rPr>
                <w:rFonts w:hint="default"/>
                <w:sz w:val="18"/>
                <w:szCs w:val="24"/>
              </w:rPr>
              <w:t>04</w:t>
            </w:r>
            <w:r>
              <w:rPr>
                <w:rFonts w:hint="eastAsia"/>
                <w:sz w:val="18"/>
                <w:szCs w:val="24"/>
              </w:rPr>
              <w:t>月</w:t>
            </w:r>
            <w:r>
              <w:rPr>
                <w:rFonts w:hint="default"/>
                <w:sz w:val="18"/>
                <w:szCs w:val="24"/>
              </w:rPr>
              <w:t>28</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内部控制评价报告全文披露索引</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巨潮资讯网</w:t>
            </w:r>
            <w:r>
              <w:rPr>
                <w:rFonts w:hint="default"/>
                <w:sz w:val="18"/>
                <w:szCs w:val="24"/>
              </w:rPr>
              <w:t>www.cninfo.com.cn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纳入评价范围单位资产总额占公司合并财务报表资产总额的比例</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纳入评价范围单位营业收入占公司合并财务报表营业收入的比例</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缺陷认定标准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财务报告</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非财务报告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定性标准</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假设不采取任何措施该缺陷导致潜在财务错报大小作为判断标准。不采取任何行动导致潜在错报可能性极小确定为一般缺陷；不采取任何行动导致潜在错报可能性不大确定为重要缺陷；不采取任何行动导致潜在错报可能性极大确定为重大缺陷。当存在以下迹象时，增加了重大缺陷的可能性，因此会特别关注以下情况：重述以前公布的财务报表，以更正由于舞弊或错误导致的重大错报；当期财务报表存在重大错报，而在内部控制运行过程中未能发现该错报。</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假设不采取任何措施该缺陷导致经济损失可能性大小作为判断标准。不采取任何行动导致造成经济损失、经营目标无法实现的可能性极小确定为一般缺陷；不采取任何行动导致造成经济损失、经营目标无法实现的可能性不大确定为重要缺陷；不采取任何行动导致造成经济损失、经营目标无法实现的可能性极大确定为重大缺陷。当存在以下迹象时，增加了重大缺陷的可能性，因此会特别关注以下情况：审计委员会和内部审计机构对内部控制的监督无效；董事、监事和高级管理人员的任何舞弊且反舞弊政策程序不健全；关联交易控制程序不当；重大投融资等非常规事项控制缺失；某个业务领域频繁地发生相似的重大诉讼案件；弄虚作假违反国家法律法规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定量标准</w:t>
            </w:r>
          </w:p>
        </w:tc>
        <w:tc>
          <w:tcPr>
            <w:tcW w:w="33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对于财务报告相关的内控缺陷，通过对公司年度财务报表潜在错报或披露事项错报程度进行判定</w:t>
            </w:r>
            <w:r>
              <w:rPr>
                <w:rFonts w:hint="default"/>
                <w:sz w:val="18"/>
                <w:szCs w:val="24"/>
              </w:rPr>
              <w:t xml:space="preserve">, </w:t>
            </w:r>
            <w:r>
              <w:rPr>
                <w:rFonts w:hint="eastAsia"/>
                <w:sz w:val="18"/>
                <w:szCs w:val="24"/>
              </w:rPr>
              <w:t>以本年度税前利润</w:t>
            </w:r>
            <w:r>
              <w:rPr>
                <w:rFonts w:hint="default"/>
                <w:sz w:val="18"/>
                <w:szCs w:val="24"/>
              </w:rPr>
              <w:t>5%</w:t>
            </w:r>
            <w:r>
              <w:rPr>
                <w:rFonts w:hint="eastAsia"/>
                <w:sz w:val="18"/>
                <w:szCs w:val="24"/>
              </w:rPr>
              <w:t>为作为重要性水平判断标准。潜在错报金额＜税前利润的</w:t>
            </w:r>
            <w:r>
              <w:rPr>
                <w:rFonts w:hint="default"/>
                <w:sz w:val="18"/>
                <w:szCs w:val="24"/>
              </w:rPr>
              <w:t>2.5%</w:t>
            </w:r>
            <w:r>
              <w:rPr>
                <w:rFonts w:hint="eastAsia"/>
                <w:sz w:val="18"/>
                <w:szCs w:val="24"/>
              </w:rPr>
              <w:t>确定为一般缺陷；税前利润的</w:t>
            </w:r>
            <w:r>
              <w:rPr>
                <w:rFonts w:hint="default"/>
                <w:sz w:val="18"/>
                <w:szCs w:val="24"/>
              </w:rPr>
              <w:t xml:space="preserve">2.5% </w:t>
            </w:r>
            <w:r>
              <w:rPr>
                <w:rFonts w:hint="eastAsia"/>
                <w:sz w:val="18"/>
                <w:szCs w:val="24"/>
              </w:rPr>
              <w:t>≤潜在错报金额＜税前利润的</w:t>
            </w:r>
            <w:r>
              <w:rPr>
                <w:rFonts w:hint="default"/>
                <w:sz w:val="18"/>
                <w:szCs w:val="24"/>
              </w:rPr>
              <w:t>5%</w:t>
            </w:r>
            <w:r>
              <w:rPr>
                <w:rFonts w:hint="eastAsia"/>
                <w:sz w:val="18"/>
                <w:szCs w:val="24"/>
              </w:rPr>
              <w:t>确定为重要缺陷；潜在错报金额≧税前利润的</w:t>
            </w:r>
            <w:r>
              <w:rPr>
                <w:rFonts w:hint="default"/>
                <w:sz w:val="18"/>
                <w:szCs w:val="24"/>
              </w:rPr>
              <w:t xml:space="preserve">5% </w:t>
            </w:r>
            <w:r>
              <w:rPr>
                <w:rFonts w:hint="eastAsia"/>
                <w:sz w:val="18"/>
                <w:szCs w:val="24"/>
              </w:rPr>
              <w:t>确定为重大缺陷。</w:t>
            </w:r>
          </w:p>
        </w:tc>
        <w:tc>
          <w:tcPr>
            <w:tcW w:w="30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以本年度税前利润</w:t>
            </w:r>
            <w:r>
              <w:rPr>
                <w:rFonts w:hint="default"/>
                <w:sz w:val="18"/>
                <w:szCs w:val="24"/>
              </w:rPr>
              <w:t>5%</w:t>
            </w:r>
            <w:r>
              <w:rPr>
                <w:rFonts w:hint="eastAsia"/>
                <w:sz w:val="18"/>
                <w:szCs w:val="24"/>
              </w:rPr>
              <w:t>为作为重要性水平判断标准。对于非财务报告相关的内控缺陷，通过对本年公司资产、收入、利润等经济损失程度，或偏离（消极偏离，即未能实现）经营目标的程度进行判定。经济损失＜税前利润的</w:t>
            </w:r>
            <w:r>
              <w:rPr>
                <w:rFonts w:hint="default"/>
                <w:sz w:val="18"/>
                <w:szCs w:val="24"/>
              </w:rPr>
              <w:t>2.5%</w:t>
            </w:r>
            <w:r>
              <w:rPr>
                <w:rFonts w:hint="eastAsia"/>
                <w:sz w:val="18"/>
                <w:szCs w:val="24"/>
              </w:rPr>
              <w:t>确定为一般缺陷；税前利润的</w:t>
            </w:r>
            <w:r>
              <w:rPr>
                <w:rFonts w:hint="default"/>
                <w:sz w:val="18"/>
                <w:szCs w:val="24"/>
              </w:rPr>
              <w:t xml:space="preserve">2.5% </w:t>
            </w:r>
            <w:r>
              <w:rPr>
                <w:rFonts w:hint="eastAsia"/>
                <w:sz w:val="18"/>
                <w:szCs w:val="24"/>
              </w:rPr>
              <w:t>≤经济损失＜税前利润的</w:t>
            </w:r>
            <w:r>
              <w:rPr>
                <w:rFonts w:hint="default"/>
                <w:sz w:val="18"/>
                <w:szCs w:val="24"/>
              </w:rPr>
              <w:t>5%</w:t>
            </w:r>
            <w:r>
              <w:rPr>
                <w:rFonts w:hint="eastAsia"/>
                <w:sz w:val="18"/>
                <w:szCs w:val="24"/>
              </w:rPr>
              <w:t>确定为重要缺陷；经济损失≧税前利润的</w:t>
            </w:r>
            <w:r>
              <w:rPr>
                <w:rFonts w:hint="default"/>
                <w:sz w:val="18"/>
                <w:szCs w:val="24"/>
              </w:rPr>
              <w:t xml:space="preserve">5% </w:t>
            </w:r>
            <w:r>
              <w:rPr>
                <w:rFonts w:hint="eastAsia"/>
                <w:sz w:val="18"/>
                <w:szCs w:val="24"/>
              </w:rPr>
              <w:t>确定为重大缺陷。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财务报告重大缺陷数量（个）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非财务报告重大缺陷数量（个）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财务报告重要缺陷数量（个）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非财务报告重要缺陷数量（个）</w:t>
            </w:r>
          </w:p>
        </w:tc>
        <w:tc>
          <w:tcPr>
            <w:tcW w:w="6374"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、内部控制审计报告</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2"/>
        <w:gridCol w:w="69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内部控制审计报告中的审议意见段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我们认为，伟隆股份按照《企业内部控制基本规范》及相关规定于</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日在所有重大方面保持了有效的财务报告内部控制。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内控审计报告披露情况</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披露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内部控制审计报告全文披露日期</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r>
              <w:rPr>
                <w:rFonts w:hint="default"/>
                <w:sz w:val="18"/>
                <w:szCs w:val="24"/>
              </w:rPr>
              <w:t>04</w:t>
            </w:r>
            <w:r>
              <w:rPr>
                <w:rFonts w:hint="eastAsia"/>
                <w:sz w:val="18"/>
                <w:szCs w:val="24"/>
              </w:rPr>
              <w:t>月</w:t>
            </w:r>
            <w:r>
              <w:rPr>
                <w:rFonts w:hint="default"/>
                <w:sz w:val="18"/>
                <w:szCs w:val="24"/>
              </w:rPr>
              <w:t>27</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内部控制审计报告全文披露索引</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详见公司</w:t>
            </w:r>
            <w:r>
              <w:rPr>
                <w:rFonts w:hint="default"/>
                <w:sz w:val="18"/>
                <w:szCs w:val="24"/>
              </w:rPr>
              <w:t>2022</w:t>
            </w:r>
            <w:r>
              <w:rPr>
                <w:rFonts w:hint="eastAsia"/>
                <w:sz w:val="18"/>
                <w:szCs w:val="24"/>
              </w:rPr>
              <w:t>年</w:t>
            </w:r>
            <w:r>
              <w:rPr>
                <w:rFonts w:hint="default"/>
                <w:sz w:val="18"/>
                <w:szCs w:val="24"/>
              </w:rPr>
              <w:t>4</w:t>
            </w:r>
            <w:r>
              <w:rPr>
                <w:rFonts w:hint="eastAsia"/>
                <w:sz w:val="18"/>
                <w:szCs w:val="24"/>
              </w:rPr>
              <w:t>月</w:t>
            </w:r>
            <w:r>
              <w:rPr>
                <w:rFonts w:hint="default"/>
                <w:sz w:val="18"/>
                <w:szCs w:val="24"/>
              </w:rPr>
              <w:t>28</w:t>
            </w:r>
            <w:r>
              <w:rPr>
                <w:rFonts w:hint="eastAsia"/>
                <w:sz w:val="18"/>
                <w:szCs w:val="24"/>
              </w:rPr>
              <w:t>日刊登于巨潮资讯网</w:t>
            </w:r>
            <w:r>
              <w:rPr>
                <w:rFonts w:hint="default"/>
                <w:sz w:val="18"/>
                <w:szCs w:val="24"/>
              </w:rPr>
              <w:t>www.cninfo.com.cn</w:t>
            </w:r>
            <w:r>
              <w:rPr>
                <w:rFonts w:hint="eastAsia"/>
                <w:sz w:val="18"/>
                <w:szCs w:val="24"/>
              </w:rPr>
              <w:t>的《</w:t>
            </w:r>
            <w:r>
              <w:rPr>
                <w:rFonts w:hint="default"/>
                <w:sz w:val="18"/>
                <w:szCs w:val="24"/>
              </w:rPr>
              <w:t>2021</w:t>
            </w:r>
            <w:r>
              <w:rPr>
                <w:rFonts w:hint="eastAsia"/>
                <w:sz w:val="18"/>
                <w:szCs w:val="24"/>
              </w:rPr>
              <w:t>年度内部控制评价报告》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内控审计报告意见类型</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标准无保留意见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非财务报告是否存在重大缺陷</w:t>
            </w:r>
          </w:p>
        </w:tc>
        <w:tc>
          <w:tcPr>
            <w:tcW w:w="690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bl>
    <w:p>
      <w:pPr>
        <w:spacing w:beforeLines="0" w:afterLines="0"/>
        <w:jc w:val="left"/>
        <w:rPr>
          <w:rFonts w:hint="default"/>
          <w:sz w:val="18"/>
          <w:szCs w:val="24"/>
        </w:rPr>
      </w:pPr>
      <w:r>
        <w:rPr>
          <w:rFonts w:hint="eastAsia"/>
          <w:sz w:val="18"/>
          <w:szCs w:val="24"/>
        </w:rPr>
        <w:t>会计师事务所是否出具非标准意见的内部控制审计报告</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会计师事务所出具的内部控制审计报告与董事会的自我评价报告意见是否一致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十五、上市公司治理专项行动自查问题整改情况</w:t>
      </w:r>
    </w:p>
    <w:p>
      <w:pPr>
        <w:autoSpaceDE w:val="0"/>
        <w:autoSpaceDN w:val="0"/>
        <w:adjustRightInd w:val="0"/>
        <w:spacing w:before="0" w:beforeLines="0" w:after="0" w:afterLines="0"/>
        <w:ind w:firstLine="480"/>
        <w:rPr>
          <w:rFonts w:hint="eastAsia" w:ascii="宋体"/>
          <w:color w:val="auto"/>
          <w:sz w:val="18"/>
          <w:szCs w:val="18"/>
          <w:lang w:val="zh-CN"/>
        </w:rPr>
      </w:pPr>
      <w:r>
        <w:rPr>
          <w:rFonts w:hint="eastAsia" w:ascii="宋体"/>
          <w:color w:val="auto"/>
          <w:sz w:val="18"/>
          <w:szCs w:val="18"/>
          <w:lang w:val="zh-CN"/>
        </w:rPr>
        <w:t>公司于2021年10月09日收到中国证券监督管理委员会青岛监管局（以下简称“青岛证监局”）下发的《关于对青岛伟隆阀门股份有限公司采取责令改正措施的决定》(【2021】17号，以下简称“《决定书》”），要求公司收到《决定书》30日内对《决定书》中指出的问题进行整改，并向青岛证监局提交书面整改报告。详见公司于2021年10月12日披露于巨潮资讯网（www.cninfo.com.cn）的《关于公司收到青岛证监局行政监管措施决定书的公告》（公告编号：2021-080）。</w:t>
      </w:r>
    </w:p>
    <w:p>
      <w:pPr>
        <w:autoSpaceDE w:val="0"/>
        <w:autoSpaceDN w:val="0"/>
        <w:adjustRightInd w:val="0"/>
        <w:spacing w:before="0" w:beforeLines="0" w:after="0" w:afterLines="0"/>
        <w:ind w:firstLine="480"/>
        <w:rPr>
          <w:rFonts w:hint="eastAsia" w:ascii="宋体"/>
          <w:color w:val="auto"/>
          <w:sz w:val="18"/>
          <w:szCs w:val="18"/>
          <w:lang w:val="zh-CN"/>
        </w:rPr>
      </w:pPr>
      <w:r>
        <w:rPr>
          <w:rFonts w:hint="eastAsia" w:ascii="宋体"/>
          <w:color w:val="auto"/>
          <w:sz w:val="18"/>
          <w:szCs w:val="18"/>
          <w:lang w:val="zh-CN"/>
        </w:rPr>
        <w:t>公司董事会收到《决定书》后，公司董事长高度重视并作出整改指示要求，及时向全体董事、监事、高级管理人员及相关部门人员进行了通报、传达；组织相关人员依据相关法律法规深刻反思公司在信息披露、内部控制制度建设及执行过程中存在的问题和不足；针对《决定书》指出的问题，公司组织相关人员认真对照《公司法》《证券法》《上市公司信息披露管理办法》《上市公司证券发行管理办法》及《企业会计准则》等相关法律法规，就相关问题制定切实可行的整改方案、明确责任人，落实整改措施。并于2021年11月1日向青岛证监局上报了《关于青岛监管局对公司采取责令改正措施决定的整改报告》，并予以完成整改落实。</w:t>
      </w:r>
    </w:p>
    <w:p>
      <w:pPr>
        <w:autoSpaceDE w:val="0"/>
        <w:autoSpaceDN w:val="0"/>
        <w:adjustRightInd w:val="0"/>
        <w:spacing w:before="0" w:beforeLines="0" w:after="0" w:afterLines="0"/>
        <w:jc w:val="left"/>
        <w:rPr>
          <w:rFonts w:hint="default"/>
          <w:color w:val="auto"/>
          <w:sz w:val="24"/>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4" w:name="_Toc300000088"/>
      <w:r>
        <w:rPr>
          <w:rFonts w:hint="eastAsia"/>
          <w:sz w:val="32"/>
          <w:szCs w:val="24"/>
        </w:rPr>
        <w:t>第五节</w:t>
      </w:r>
      <w:r>
        <w:rPr>
          <w:rFonts w:hint="default"/>
          <w:sz w:val="32"/>
          <w:szCs w:val="24"/>
        </w:rPr>
        <w:t xml:space="preserve"> </w:t>
      </w:r>
      <w:r>
        <w:rPr>
          <w:rFonts w:hint="eastAsia"/>
          <w:sz w:val="32"/>
          <w:szCs w:val="24"/>
        </w:rPr>
        <w:t>环境和社会责任</w:t>
      </w:r>
      <w:bookmarkEnd w:id="4"/>
    </w:p>
    <w:p>
      <w:pPr>
        <w:pStyle w:val="6"/>
        <w:spacing w:beforeLines="0" w:afterLines="0"/>
        <w:outlineLvl w:val="1"/>
        <w:rPr>
          <w:rFonts w:hint="default"/>
          <w:sz w:val="24"/>
          <w:szCs w:val="24"/>
        </w:rPr>
      </w:pPr>
      <w:r>
        <w:rPr>
          <w:rFonts w:hint="eastAsia"/>
          <w:sz w:val="24"/>
          <w:szCs w:val="24"/>
        </w:rPr>
        <w:t>一、重大环保问题</w:t>
      </w:r>
    </w:p>
    <w:p>
      <w:pPr>
        <w:spacing w:beforeLines="0" w:afterLines="0"/>
        <w:jc w:val="left"/>
        <w:rPr>
          <w:rFonts w:hint="default"/>
          <w:sz w:val="18"/>
          <w:szCs w:val="24"/>
        </w:rPr>
      </w:pPr>
      <w:r>
        <w:rPr>
          <w:rFonts w:hint="eastAsia"/>
          <w:sz w:val="18"/>
          <w:szCs w:val="24"/>
        </w:rPr>
        <w:t>上市公司及其子公司是否属于环境保护部门公布的重点排污单位</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报告期内因环境问题受到行政处罚的情况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5"/>
        <w:gridCol w:w="1593"/>
        <w:gridCol w:w="1593"/>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公司或子公司名称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处罚原因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违规情形</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处罚结果</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对上市公司生产经营的影响</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公司的整改措施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p>
    <w:p>
      <w:pPr>
        <w:spacing w:beforeLines="0" w:afterLines="0"/>
        <w:jc w:val="left"/>
        <w:rPr>
          <w:rFonts w:hint="default"/>
          <w:sz w:val="18"/>
          <w:szCs w:val="24"/>
        </w:rPr>
      </w:pPr>
      <w:r>
        <w:rPr>
          <w:rFonts w:hint="eastAsia"/>
          <w:sz w:val="18"/>
          <w:szCs w:val="24"/>
        </w:rPr>
        <w:t>参照重点排污单位披露的其他环境信息</w:t>
      </w:r>
    </w:p>
    <w:p>
      <w:pPr>
        <w:autoSpaceDE w:val="0"/>
        <w:autoSpaceDN w:val="0"/>
        <w:adjustRightInd w:val="0"/>
        <w:spacing w:before="0" w:beforeLines="0" w:after="0" w:afterLines="0"/>
        <w:ind w:firstLine="360"/>
        <w:jc w:val="left"/>
        <w:rPr>
          <w:rFonts w:hint="eastAsia" w:ascii="宋体"/>
          <w:color w:val="auto"/>
          <w:sz w:val="18"/>
          <w:szCs w:val="24"/>
          <w:lang w:val="zh-CN"/>
        </w:rPr>
      </w:pPr>
      <w:r>
        <w:rPr>
          <w:rFonts w:hint="eastAsia" w:ascii="宋体"/>
          <w:color w:val="auto"/>
          <w:sz w:val="18"/>
          <w:szCs w:val="24"/>
          <w:lang w:val="zh-CN"/>
        </w:rPr>
        <w:t>报告期内，在环境保护与可持续发展方面，公司将环境保护和节能减排作为可持续发展战略的重要内容，注重环保宣传和全体员工环保意识的提高，坚持守法自律、清洁生产、节约资源、保护环境、可持续发展。公司依靠技术改造不断优化生产工艺，推进节能减排、预防污染、节约资源的有效措施，已经通过了环境管理体系及职业健康安全管理体系认证及企业三级安全标准化建设验收，公司未发生重大安全、环保事故问题。</w:t>
      </w:r>
    </w:p>
    <w:p>
      <w:pPr>
        <w:autoSpaceDE w:val="0"/>
        <w:autoSpaceDN w:val="0"/>
        <w:adjustRightInd w:val="0"/>
        <w:spacing w:before="0" w:beforeLines="0" w:after="0" w:afterLines="0"/>
        <w:ind w:firstLine="360"/>
        <w:jc w:val="left"/>
        <w:rPr>
          <w:rFonts w:hint="eastAsia" w:ascii="宋体"/>
          <w:sz w:val="18"/>
          <w:szCs w:val="24"/>
          <w:lang w:val="zh-CN"/>
        </w:rPr>
      </w:pPr>
    </w:p>
    <w:p>
      <w:pPr>
        <w:spacing w:beforeLines="0" w:afterLines="0"/>
        <w:jc w:val="left"/>
        <w:rPr>
          <w:rFonts w:hint="default"/>
          <w:sz w:val="18"/>
          <w:szCs w:val="24"/>
        </w:rPr>
      </w:pPr>
      <w:r>
        <w:rPr>
          <w:rFonts w:hint="eastAsia"/>
          <w:sz w:val="18"/>
          <w:szCs w:val="24"/>
        </w:rPr>
        <w:t>在报告期内为减少其碳排放所采取的措施及效果</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p>
    <w:p>
      <w:pPr>
        <w:spacing w:beforeLines="0" w:afterLines="0"/>
        <w:jc w:val="left"/>
        <w:rPr>
          <w:rFonts w:hint="default"/>
          <w:sz w:val="18"/>
          <w:szCs w:val="24"/>
        </w:rPr>
      </w:pPr>
      <w:r>
        <w:rPr>
          <w:rFonts w:hint="eastAsia"/>
          <w:sz w:val="18"/>
          <w:szCs w:val="24"/>
        </w:rPr>
        <w:t>未披露其他环境信息的原因</w:t>
      </w:r>
    </w:p>
    <w:p>
      <w:pPr>
        <w:autoSpaceDE w:val="0"/>
        <w:autoSpaceDN w:val="0"/>
        <w:adjustRightInd w:val="0"/>
        <w:spacing w:before="0" w:beforeLines="0" w:after="0" w:afterLines="0"/>
        <w:ind w:firstLine="270" w:firstLineChars="150"/>
        <w:jc w:val="left"/>
        <w:rPr>
          <w:rFonts w:hint="eastAsia" w:ascii="宋体"/>
          <w:color w:val="auto"/>
          <w:sz w:val="18"/>
          <w:szCs w:val="24"/>
          <w:lang w:val="zh-CN"/>
        </w:rPr>
      </w:pPr>
      <w:r>
        <w:rPr>
          <w:rFonts w:hint="eastAsia" w:ascii="宋体"/>
          <w:color w:val="auto"/>
          <w:sz w:val="18"/>
          <w:szCs w:val="24"/>
          <w:lang w:val="zh-CN"/>
        </w:rPr>
        <w:t>公司及相关子公司在日常生产经营中，认真执行《中华人民共和国环境保护法》、《中华人民共和国水污染防治法》、《中华人民共和国大气污染防治法》、《中华人民共和国环境噪声污染防治法》、《中华人民共和国固体废物污染防治法》等法律法规，做好环境因素识别、评价与控制，积极采用高效、节能、环保的新工艺，最大限度减少污染物排放，全面推进清洁生产，各项指标符合环保要求。</w:t>
      </w:r>
    </w:p>
    <w:p>
      <w:pPr>
        <w:pStyle w:val="6"/>
        <w:spacing w:beforeLines="0" w:afterLines="0"/>
        <w:outlineLvl w:val="1"/>
        <w:rPr>
          <w:rFonts w:hint="default"/>
          <w:sz w:val="24"/>
          <w:szCs w:val="24"/>
        </w:rPr>
      </w:pPr>
      <w:r>
        <w:rPr>
          <w:rFonts w:hint="eastAsia"/>
          <w:sz w:val="24"/>
          <w:szCs w:val="24"/>
        </w:rPr>
        <w:t>二、社会责任情况</w:t>
      </w:r>
    </w:p>
    <w:p>
      <w:pPr>
        <w:autoSpaceDE w:val="0"/>
        <w:autoSpaceDN w:val="0"/>
        <w:adjustRightInd w:val="0"/>
        <w:spacing w:before="0" w:beforeLines="0" w:after="0" w:afterLines="0"/>
        <w:ind w:firstLine="360"/>
        <w:jc w:val="left"/>
        <w:rPr>
          <w:rFonts w:hint="eastAsia" w:ascii="宋体"/>
          <w:sz w:val="18"/>
          <w:szCs w:val="24"/>
          <w:lang w:val="zh-CN"/>
        </w:rPr>
      </w:pPr>
      <w:r>
        <w:rPr>
          <w:rFonts w:hint="eastAsia" w:ascii="宋体"/>
          <w:sz w:val="18"/>
          <w:szCs w:val="24"/>
          <w:lang w:val="zh-CN"/>
        </w:rPr>
        <w:t>报告期内，公司积极履行企业应尽的义务，承担社会责任。在生产经营和业务发展的过程中，在为股东创造价值的同时，努力做到经济效益与社会效益、短期利益与长期利益、自身发展与社会发展协调统一，实现公司与员工、公司与社会、公司与环境的健康和谐发展。</w:t>
      </w:r>
    </w:p>
    <w:p>
      <w:pPr>
        <w:autoSpaceDE w:val="0"/>
        <w:autoSpaceDN w:val="0"/>
        <w:adjustRightInd w:val="0"/>
        <w:spacing w:before="0" w:beforeLines="0" w:after="0" w:afterLines="0"/>
        <w:jc w:val="left"/>
        <w:rPr>
          <w:rFonts w:hint="default"/>
          <w:sz w:val="18"/>
          <w:szCs w:val="24"/>
          <w:lang w:val="zh-CN"/>
        </w:rPr>
      </w:pPr>
      <w:r>
        <w:rPr>
          <w:rFonts w:hint="default"/>
          <w:sz w:val="18"/>
          <w:szCs w:val="24"/>
          <w:lang w:val="zh-CN"/>
        </w:rPr>
        <w:t xml:space="preserve">      </w:t>
      </w:r>
      <w:r>
        <w:rPr>
          <w:rFonts w:hint="eastAsia" w:ascii="宋体"/>
          <w:sz w:val="18"/>
          <w:szCs w:val="24"/>
          <w:lang w:val="zh-CN"/>
        </w:rPr>
        <w:t>在股东和债权人权益保护方面，公司严格按照《公司法》、《证券法》、《公司章程》等有关法律、法规的要求，结合公司实际，建立了规范的法人治理结构，规范股东大会的召集、召开及表决程序，通过现场、网络等合法有效的方式，让更多的股东特别是中小股东能够参加股东大会，确保股东对公司重大事项的知情权、参与权和表决权。公司认真履行信息披露义务，秉持公平、公正、公开的原则对待全体投资者和债权人，维护广大投资者和债权人的利益。</w:t>
      </w:r>
    </w:p>
    <w:p>
      <w:pPr>
        <w:autoSpaceDE w:val="0"/>
        <w:autoSpaceDN w:val="0"/>
        <w:adjustRightInd w:val="0"/>
        <w:spacing w:before="0" w:beforeLines="0" w:after="0" w:afterLines="0"/>
        <w:jc w:val="left"/>
        <w:rPr>
          <w:rFonts w:hint="default"/>
          <w:sz w:val="18"/>
          <w:szCs w:val="24"/>
          <w:lang w:val="zh-CN"/>
        </w:rPr>
      </w:pPr>
      <w:r>
        <w:rPr>
          <w:rFonts w:hint="default"/>
          <w:sz w:val="18"/>
          <w:szCs w:val="24"/>
          <w:lang w:val="zh-CN"/>
        </w:rPr>
        <w:t xml:space="preserve">      </w:t>
      </w:r>
      <w:r>
        <w:rPr>
          <w:rFonts w:hint="eastAsia" w:ascii="宋体"/>
          <w:sz w:val="18"/>
          <w:szCs w:val="24"/>
          <w:lang w:val="zh-CN"/>
        </w:rPr>
        <w:t>在职工权益保护方面，公司不断完善劳动用工与福利保障的相关管理制度，尊重和维护员工的个人权益，对人员录用、员工培训、工资薪酬、福利保障等进行了规定，建立了较为完善的薪酬管理和绩效考核体系。公司通过多种途径改善员工工作环境和生活环境，重视人才培训和培养，实现员工与公司的共同成长，切实维护员工的合法权益。</w:t>
      </w:r>
    </w:p>
    <w:p>
      <w:pPr>
        <w:autoSpaceDE w:val="0"/>
        <w:autoSpaceDN w:val="0"/>
        <w:adjustRightInd w:val="0"/>
        <w:spacing w:before="0" w:beforeLines="0" w:after="0" w:afterLines="0"/>
        <w:jc w:val="left"/>
        <w:rPr>
          <w:rFonts w:hint="default"/>
          <w:sz w:val="18"/>
          <w:szCs w:val="24"/>
          <w:lang w:val="zh-CN"/>
        </w:rPr>
      </w:pPr>
      <w:r>
        <w:rPr>
          <w:rFonts w:hint="default"/>
          <w:sz w:val="18"/>
          <w:szCs w:val="24"/>
          <w:lang w:val="zh-CN"/>
        </w:rPr>
        <w:t xml:space="preserve">     </w:t>
      </w:r>
      <w:r>
        <w:rPr>
          <w:rFonts w:hint="eastAsia" w:ascii="宋体"/>
          <w:sz w:val="18"/>
          <w:szCs w:val="24"/>
          <w:lang w:val="zh-CN"/>
        </w:rPr>
        <w:t>在供应商、客户和消费者权益保护方面，公司建立了原材料采购和产品销售服务体系，确保产品质量，获得了较高的客户满意度和忠诚度。公司完善了销售服务管理制度和运行机制，做到服务与经营工作同步推进，完善了客户意见反馈机制、投诉处理机制和快速响应机制。</w:t>
      </w:r>
    </w:p>
    <w:p>
      <w:pPr>
        <w:pStyle w:val="6"/>
        <w:spacing w:beforeLines="0" w:afterLines="0"/>
        <w:outlineLvl w:val="1"/>
        <w:rPr>
          <w:rFonts w:hint="default"/>
          <w:sz w:val="24"/>
          <w:szCs w:val="24"/>
        </w:rPr>
      </w:pPr>
      <w:r>
        <w:rPr>
          <w:rFonts w:hint="eastAsia"/>
          <w:sz w:val="24"/>
          <w:szCs w:val="24"/>
        </w:rPr>
        <w:t>三、巩固拓展脱贫攻坚成果、乡村振兴的情况</w:t>
      </w:r>
    </w:p>
    <w:p>
      <w:pPr>
        <w:autoSpaceDE w:val="0"/>
        <w:autoSpaceDN w:val="0"/>
        <w:adjustRightInd w:val="0"/>
        <w:spacing w:before="0" w:beforeLines="0" w:after="0" w:afterLines="0"/>
        <w:jc w:val="left"/>
        <w:rPr>
          <w:rFonts w:hint="eastAsia" w:ascii="宋体"/>
          <w:sz w:val="18"/>
          <w:szCs w:val="24"/>
          <w:lang w:val="zh-CN"/>
        </w:rPr>
        <w:sectPr>
          <w:pgSz w:w="11906" w:h="16838"/>
          <w:pgMar w:top="1440" w:right="1134" w:bottom="1440" w:left="1134" w:header="851" w:footer="992" w:gutter="0"/>
          <w:lnNumType w:countBy="0" w:distance="360"/>
          <w:cols w:space="720" w:num="1"/>
          <w:docGrid w:type="lines" w:linePitch="312" w:charSpace="0"/>
        </w:sectPr>
      </w:pPr>
      <w:r>
        <w:rPr>
          <w:rFonts w:hint="eastAsia" w:ascii="宋体"/>
          <w:sz w:val="18"/>
          <w:szCs w:val="24"/>
          <w:lang w:val="zh-CN"/>
        </w:rPr>
        <w:t>不适用</w:t>
      </w:r>
    </w:p>
    <w:p>
      <w:pPr>
        <w:pStyle w:val="3"/>
        <w:spacing w:beforeLines="0" w:afterLines="0"/>
        <w:outlineLvl w:val="0"/>
        <w:rPr>
          <w:rFonts w:hint="default"/>
          <w:sz w:val="32"/>
          <w:szCs w:val="24"/>
        </w:rPr>
      </w:pPr>
      <w:bookmarkStart w:id="5" w:name="_Toc300000089"/>
      <w:r>
        <w:rPr>
          <w:rFonts w:hint="eastAsia"/>
          <w:sz w:val="32"/>
          <w:szCs w:val="24"/>
        </w:rPr>
        <w:t>第六节</w:t>
      </w:r>
      <w:r>
        <w:rPr>
          <w:rFonts w:hint="default"/>
          <w:sz w:val="32"/>
          <w:szCs w:val="24"/>
        </w:rPr>
        <w:t xml:space="preserve"> </w:t>
      </w:r>
      <w:r>
        <w:rPr>
          <w:rFonts w:hint="eastAsia"/>
          <w:sz w:val="32"/>
          <w:szCs w:val="24"/>
        </w:rPr>
        <w:t>重要事项</w:t>
      </w:r>
      <w:bookmarkEnd w:id="5"/>
    </w:p>
    <w:p>
      <w:pPr>
        <w:pStyle w:val="6"/>
        <w:spacing w:beforeLines="0" w:afterLines="0"/>
        <w:outlineLvl w:val="1"/>
        <w:rPr>
          <w:rFonts w:hint="default"/>
          <w:sz w:val="24"/>
          <w:szCs w:val="24"/>
        </w:rPr>
      </w:pPr>
      <w:r>
        <w:rPr>
          <w:rFonts w:hint="eastAsia"/>
          <w:sz w:val="24"/>
          <w:szCs w:val="24"/>
        </w:rPr>
        <w:t>一、承诺事项履行情况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、公司实际控制人、股东、关联方、收购人以及公司等承诺相关方在报告期内履行完毕及截至报告期末尚未履行完毕的承诺事项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公司报告期不存在由公司实际控制人、股东、关联方、收购人以及公司等承诺相关方在报告期内履行完毕及截至报告期末尚未履行完毕的承诺事项。</w:t>
      </w:r>
    </w:p>
    <w:p>
      <w:pPr>
        <w:pStyle w:val="7"/>
        <w:spacing w:beforeLines="0" w:afterLines="0"/>
        <w:outlineLvl w:val="2"/>
        <w:rPr>
          <w:rFonts w:hint="default"/>
          <w:sz w:val="21"/>
          <w:szCs w:val="24"/>
        </w:rPr>
      </w:pPr>
      <w:r>
        <w:rPr>
          <w:rFonts w:hint="default"/>
          <w:sz w:val="21"/>
          <w:szCs w:val="24"/>
        </w:rPr>
        <w:t>2</w:t>
      </w:r>
      <w:r>
        <w:rPr>
          <w:rFonts w:hint="eastAsia"/>
          <w:sz w:val="21"/>
          <w:szCs w:val="24"/>
        </w:rPr>
        <w:t>、公司资产或项目存在盈利预测，且报告期仍处在盈利预测期间，公司就资产或项目达到原盈利预测及其原因做出说明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二、控股股东及其他关联方对上市公司的非经营性占用资金情况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公司报告期不存在控股股东及其他关联方对上市公司的非经营性占用资金。</w:t>
      </w:r>
    </w:p>
    <w:p>
      <w:pPr>
        <w:pStyle w:val="6"/>
        <w:spacing w:beforeLines="0" w:afterLines="0"/>
        <w:outlineLvl w:val="1"/>
        <w:rPr>
          <w:rFonts w:hint="default"/>
          <w:sz w:val="24"/>
          <w:szCs w:val="24"/>
        </w:rPr>
      </w:pPr>
      <w:r>
        <w:rPr>
          <w:rFonts w:hint="eastAsia"/>
          <w:sz w:val="24"/>
          <w:szCs w:val="24"/>
        </w:rPr>
        <w:t>三、违规对外担保情况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公司报告期无违规对外担保情况。</w:t>
      </w:r>
    </w:p>
    <w:p>
      <w:pPr>
        <w:pStyle w:val="6"/>
        <w:spacing w:beforeLines="0" w:afterLines="0"/>
        <w:outlineLvl w:val="1"/>
        <w:rPr>
          <w:rFonts w:hint="default"/>
          <w:sz w:val="24"/>
          <w:szCs w:val="24"/>
        </w:rPr>
      </w:pPr>
      <w:r>
        <w:rPr>
          <w:rFonts w:hint="eastAsia"/>
          <w:sz w:val="24"/>
          <w:szCs w:val="24"/>
        </w:rPr>
        <w:t>四、董事会对最近一期“非标准审计报告”相关情况的说明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五、董事会、监事会、独立董事（如有）对会计师事务所本报告期“非标准审计报告”的说明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六、与上年度财务报告相比，会计政策、会计估计变更或重大会计差错更正的情况说明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公司报告期无会计政策、会计估计变更或重大会计差错更正的情况。</w:t>
      </w:r>
    </w:p>
    <w:p>
      <w:pPr>
        <w:pStyle w:val="6"/>
        <w:spacing w:beforeLines="0" w:afterLines="0"/>
        <w:outlineLvl w:val="1"/>
        <w:rPr>
          <w:rFonts w:hint="default"/>
          <w:sz w:val="24"/>
          <w:szCs w:val="24"/>
        </w:rPr>
      </w:pPr>
      <w:r>
        <w:rPr>
          <w:rFonts w:hint="eastAsia"/>
          <w:sz w:val="24"/>
          <w:szCs w:val="24"/>
        </w:rPr>
        <w:t>七、与上年度财务报告相比，合并报表范围发生变化的情况说明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公司报告期无合并报表范围发生变化的情况。</w:t>
      </w:r>
    </w:p>
    <w:p>
      <w:pPr>
        <w:pStyle w:val="6"/>
        <w:spacing w:beforeLines="0" w:afterLines="0"/>
        <w:outlineLvl w:val="1"/>
        <w:rPr>
          <w:rFonts w:hint="default"/>
          <w:sz w:val="24"/>
          <w:szCs w:val="24"/>
        </w:rPr>
      </w:pPr>
      <w:r>
        <w:rPr>
          <w:rFonts w:hint="eastAsia"/>
          <w:sz w:val="24"/>
          <w:szCs w:val="24"/>
        </w:rPr>
        <w:t>八、聘任、解聘会计师事务所情况</w:t>
      </w:r>
    </w:p>
    <w:p>
      <w:pPr>
        <w:spacing w:beforeLines="0" w:afterLines="0"/>
        <w:jc w:val="left"/>
        <w:rPr>
          <w:rFonts w:hint="default"/>
          <w:sz w:val="18"/>
          <w:szCs w:val="24"/>
        </w:rPr>
      </w:pPr>
      <w:r>
        <w:rPr>
          <w:rFonts w:hint="eastAsia"/>
          <w:sz w:val="18"/>
          <w:szCs w:val="24"/>
        </w:rPr>
        <w:t>现聘任的会计师事务所</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91"/>
        <w:gridCol w:w="4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境内会计师事务所名称</w:t>
            </w:r>
          </w:p>
        </w:tc>
        <w:tc>
          <w:tcPr>
            <w:tcW w:w="4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境内会计师事务所报酬（万元）</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eastAsia"/>
                <w:sz w:val="18"/>
                <w:szCs w:val="24"/>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境内会计师事务所审计服务的连续年限</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8</w:t>
            </w:r>
            <w:r>
              <w:rPr>
                <w:rFonts w:hint="eastAsia"/>
                <w:sz w:val="18"/>
                <w:szCs w:val="24"/>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境内会计师事务所注册会计师姓名</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刘学伟、李胜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境内会计师事务所注册会计师审计服务的连续年限</w:t>
            </w:r>
          </w:p>
        </w:tc>
        <w:tc>
          <w:tcPr>
            <w:tcW w:w="47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8</w:t>
            </w:r>
            <w:r>
              <w:rPr>
                <w:rFonts w:hint="eastAsia"/>
                <w:sz w:val="18"/>
                <w:szCs w:val="24"/>
              </w:rPr>
              <w:t>年</w:t>
            </w:r>
          </w:p>
        </w:tc>
      </w:tr>
    </w:tbl>
    <w:p>
      <w:pPr>
        <w:spacing w:beforeLines="0" w:afterLines="0"/>
        <w:jc w:val="left"/>
        <w:rPr>
          <w:rFonts w:hint="default"/>
          <w:sz w:val="18"/>
          <w:szCs w:val="24"/>
        </w:rPr>
      </w:pPr>
      <w:r>
        <w:rPr>
          <w:rFonts w:hint="eastAsia"/>
          <w:sz w:val="18"/>
          <w:szCs w:val="24"/>
        </w:rPr>
        <w:t>当期是否改聘会计师事务所</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聘请内部控制审计会计师事务所、财务顾问或保荐人情况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九、年度报告披露后面临退市情况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十、破产重整相关事项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公司报告期未发生破产重整相关事项。</w:t>
      </w:r>
    </w:p>
    <w:p>
      <w:pPr>
        <w:pStyle w:val="6"/>
        <w:spacing w:beforeLines="0" w:afterLines="0"/>
        <w:outlineLvl w:val="1"/>
        <w:rPr>
          <w:rFonts w:hint="default"/>
          <w:sz w:val="24"/>
          <w:szCs w:val="24"/>
        </w:rPr>
      </w:pPr>
      <w:r>
        <w:rPr>
          <w:rFonts w:hint="eastAsia"/>
          <w:sz w:val="24"/>
          <w:szCs w:val="24"/>
        </w:rPr>
        <w:t>十一、重大诉讼、仲裁事项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本报告期公司无重大诉讼、仲裁事项。</w:t>
      </w:r>
    </w:p>
    <w:p>
      <w:pPr>
        <w:pStyle w:val="6"/>
        <w:spacing w:beforeLines="0" w:afterLines="0"/>
        <w:outlineLvl w:val="1"/>
        <w:rPr>
          <w:rFonts w:hint="default"/>
          <w:sz w:val="24"/>
          <w:szCs w:val="24"/>
        </w:rPr>
      </w:pPr>
      <w:r>
        <w:rPr>
          <w:rFonts w:hint="eastAsia"/>
          <w:sz w:val="24"/>
          <w:szCs w:val="24"/>
        </w:rPr>
        <w:t>十二、处罚及整改情况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公司报告期不存在处罚及整改情况。</w:t>
      </w:r>
    </w:p>
    <w:p>
      <w:pPr>
        <w:pStyle w:val="6"/>
        <w:spacing w:beforeLines="0" w:afterLines="0"/>
        <w:outlineLvl w:val="1"/>
        <w:rPr>
          <w:rFonts w:hint="default"/>
          <w:sz w:val="24"/>
          <w:szCs w:val="24"/>
        </w:rPr>
      </w:pPr>
      <w:r>
        <w:rPr>
          <w:rFonts w:hint="eastAsia"/>
          <w:sz w:val="24"/>
          <w:szCs w:val="24"/>
        </w:rPr>
        <w:t>十三、公司及其控股股东、实际控制人的诚信状况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Lines="0" w:afterLines="0"/>
        <w:jc w:val="left"/>
        <w:rPr>
          <w:rFonts w:hint="eastAsia" w:ascii="宋体"/>
          <w:sz w:val="18"/>
          <w:szCs w:val="24"/>
          <w:lang w:val="zh-CN"/>
        </w:rPr>
      </w:pPr>
      <w:r>
        <w:rPr>
          <w:rFonts w:hint="eastAsia" w:ascii="宋体"/>
          <w:sz w:val="18"/>
          <w:szCs w:val="24"/>
          <w:lang w:val="zh-CN"/>
        </w:rPr>
        <w:t>报告期内，公司及控股股东、实际控制人的诚信状况良好，不存在未履行法院生效判决、所负数额较大的债务到期未清偿等情况。</w:t>
      </w:r>
    </w:p>
    <w:p>
      <w:pPr>
        <w:pStyle w:val="6"/>
        <w:spacing w:beforeLines="0" w:afterLines="0"/>
        <w:outlineLvl w:val="1"/>
        <w:rPr>
          <w:rFonts w:hint="default"/>
          <w:sz w:val="24"/>
          <w:szCs w:val="24"/>
        </w:rPr>
      </w:pPr>
      <w:r>
        <w:rPr>
          <w:rFonts w:hint="eastAsia"/>
          <w:sz w:val="24"/>
          <w:szCs w:val="24"/>
        </w:rPr>
        <w:t>十四、重大关联交易</w:t>
      </w:r>
    </w:p>
    <w:p>
      <w:pPr>
        <w:pStyle w:val="7"/>
        <w:spacing w:beforeLines="0" w:afterLines="0"/>
        <w:outlineLvl w:val="2"/>
        <w:rPr>
          <w:rFonts w:hint="default"/>
          <w:sz w:val="21"/>
          <w:szCs w:val="24"/>
        </w:rPr>
      </w:pPr>
      <w:r>
        <w:rPr>
          <w:rFonts w:hint="default"/>
          <w:sz w:val="21"/>
          <w:szCs w:val="24"/>
        </w:rPr>
        <w:t>1</w:t>
      </w:r>
      <w:r>
        <w:rPr>
          <w:rFonts w:hint="eastAsia"/>
          <w:sz w:val="21"/>
          <w:szCs w:val="24"/>
        </w:rPr>
        <w:t>、与日常经营相关的关联交易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公司报告期未发生与日常经营相关的关联交易。</w:t>
      </w:r>
    </w:p>
    <w:p>
      <w:pPr>
        <w:pStyle w:val="7"/>
        <w:spacing w:beforeLines="0" w:afterLines="0"/>
        <w:outlineLvl w:val="2"/>
        <w:rPr>
          <w:rFonts w:hint="default"/>
          <w:sz w:val="21"/>
          <w:szCs w:val="24"/>
        </w:rPr>
      </w:pPr>
      <w:r>
        <w:rPr>
          <w:rFonts w:hint="default"/>
          <w:sz w:val="21"/>
          <w:szCs w:val="24"/>
        </w:rPr>
        <w:t>2</w:t>
      </w:r>
      <w:r>
        <w:rPr>
          <w:rFonts w:hint="eastAsia"/>
          <w:sz w:val="21"/>
          <w:szCs w:val="24"/>
        </w:rPr>
        <w:t>、资产或股权收购、出售发生的关联交易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公司报告期未发生资产或股权收购、出售的关联交易。</w:t>
      </w:r>
    </w:p>
    <w:p>
      <w:pPr>
        <w:pStyle w:val="7"/>
        <w:spacing w:beforeLines="0" w:afterLines="0"/>
        <w:outlineLvl w:val="2"/>
        <w:rPr>
          <w:rFonts w:hint="default"/>
          <w:sz w:val="21"/>
          <w:szCs w:val="24"/>
        </w:rPr>
      </w:pPr>
      <w:r>
        <w:rPr>
          <w:rFonts w:hint="default"/>
          <w:sz w:val="21"/>
          <w:szCs w:val="24"/>
        </w:rPr>
        <w:t>3</w:t>
      </w:r>
      <w:r>
        <w:rPr>
          <w:rFonts w:hint="eastAsia"/>
          <w:sz w:val="21"/>
          <w:szCs w:val="24"/>
        </w:rPr>
        <w:t>、共同对外投资的关联交易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公司报告期未发生共同对外投资的关联交易。</w:t>
      </w:r>
    </w:p>
    <w:p>
      <w:pPr>
        <w:pStyle w:val="7"/>
        <w:spacing w:beforeLines="0" w:afterLines="0"/>
        <w:outlineLvl w:val="2"/>
        <w:rPr>
          <w:rFonts w:hint="default"/>
          <w:sz w:val="21"/>
          <w:szCs w:val="24"/>
        </w:rPr>
      </w:pPr>
      <w:r>
        <w:rPr>
          <w:rFonts w:hint="default"/>
          <w:sz w:val="21"/>
          <w:szCs w:val="24"/>
        </w:rPr>
        <w:t>4</w:t>
      </w:r>
      <w:r>
        <w:rPr>
          <w:rFonts w:hint="eastAsia"/>
          <w:sz w:val="21"/>
          <w:szCs w:val="24"/>
        </w:rPr>
        <w:t>、关联债权债务往来</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公司报告期不存在关联债权债务往来。</w:t>
      </w:r>
    </w:p>
    <w:p>
      <w:pPr>
        <w:pStyle w:val="7"/>
        <w:spacing w:beforeLines="0" w:afterLines="0"/>
        <w:outlineLvl w:val="2"/>
        <w:rPr>
          <w:rFonts w:hint="default"/>
          <w:sz w:val="21"/>
          <w:szCs w:val="24"/>
        </w:rPr>
      </w:pPr>
      <w:r>
        <w:rPr>
          <w:rFonts w:hint="default"/>
          <w:sz w:val="21"/>
          <w:szCs w:val="24"/>
        </w:rPr>
        <w:t>5</w:t>
      </w:r>
      <w:r>
        <w:rPr>
          <w:rFonts w:hint="eastAsia"/>
          <w:sz w:val="21"/>
          <w:szCs w:val="24"/>
        </w:rPr>
        <w:t>、与存在关联关系的财务公司的往来情况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公司与存在关联关系的财务公司与关联方之间不存在存款、贷款、授信或其他金融业务。</w:t>
      </w:r>
    </w:p>
    <w:p>
      <w:pPr>
        <w:pStyle w:val="7"/>
        <w:spacing w:beforeLines="0" w:afterLines="0"/>
        <w:outlineLvl w:val="2"/>
        <w:rPr>
          <w:rFonts w:hint="default"/>
          <w:sz w:val="21"/>
          <w:szCs w:val="24"/>
        </w:rPr>
      </w:pPr>
      <w:r>
        <w:rPr>
          <w:rFonts w:hint="default"/>
          <w:sz w:val="21"/>
          <w:szCs w:val="24"/>
        </w:rPr>
        <w:t>6</w:t>
      </w:r>
      <w:r>
        <w:rPr>
          <w:rFonts w:hint="eastAsia"/>
          <w:sz w:val="21"/>
          <w:szCs w:val="24"/>
        </w:rPr>
        <w:t>、公司控股的财务公司与关联方的往来情况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公司控股的财务公司与关联方之间不存在存款、贷款、授信或其他金融业务。</w:t>
      </w:r>
    </w:p>
    <w:p>
      <w:pPr>
        <w:pStyle w:val="7"/>
        <w:spacing w:beforeLines="0" w:afterLines="0"/>
        <w:outlineLvl w:val="2"/>
        <w:rPr>
          <w:rFonts w:hint="default"/>
          <w:sz w:val="21"/>
          <w:szCs w:val="24"/>
        </w:rPr>
      </w:pPr>
      <w:r>
        <w:rPr>
          <w:rFonts w:hint="default"/>
          <w:sz w:val="21"/>
          <w:szCs w:val="24"/>
        </w:rPr>
        <w:t>7</w:t>
      </w:r>
      <w:r>
        <w:rPr>
          <w:rFonts w:hint="eastAsia"/>
          <w:sz w:val="21"/>
          <w:szCs w:val="24"/>
        </w:rPr>
        <w:t>、其他重大关联交易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公司报告期无其他重大关联交易。</w:t>
      </w:r>
    </w:p>
    <w:p>
      <w:pPr>
        <w:pStyle w:val="6"/>
        <w:spacing w:beforeLines="0" w:afterLines="0"/>
        <w:outlineLvl w:val="1"/>
        <w:rPr>
          <w:rFonts w:hint="default"/>
          <w:sz w:val="24"/>
          <w:szCs w:val="24"/>
        </w:rPr>
      </w:pPr>
      <w:r>
        <w:rPr>
          <w:rFonts w:hint="eastAsia"/>
          <w:sz w:val="24"/>
          <w:szCs w:val="24"/>
        </w:rPr>
        <w:t>十五、重大合同及其履行情况</w:t>
      </w:r>
    </w:p>
    <w:p>
      <w:pPr>
        <w:pStyle w:val="7"/>
        <w:spacing w:beforeLines="0" w:afterLines="0"/>
        <w:outlineLvl w:val="2"/>
        <w:rPr>
          <w:rFonts w:hint="default"/>
          <w:sz w:val="21"/>
          <w:szCs w:val="24"/>
        </w:rPr>
      </w:pPr>
      <w:r>
        <w:rPr>
          <w:rFonts w:hint="default"/>
          <w:sz w:val="21"/>
          <w:szCs w:val="24"/>
        </w:rPr>
        <w:t>1</w:t>
      </w:r>
      <w:r>
        <w:rPr>
          <w:rFonts w:hint="eastAsia"/>
          <w:sz w:val="21"/>
          <w:szCs w:val="24"/>
        </w:rPr>
        <w:t>、托管、承包、租赁事项情况</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）托管情况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公司报告期不存在托管情况。</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）承包情况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公司报告期不存在承包情况。</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）租赁情况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租赁情况说明</w:t>
      </w:r>
    </w:p>
    <w:p>
      <w:pPr>
        <w:autoSpaceDE w:val="0"/>
        <w:autoSpaceDN w:val="0"/>
        <w:adjustRightInd w:val="0"/>
        <w:spacing w:beforeLines="0" w:afterLines="0"/>
        <w:jc w:val="left"/>
        <w:rPr>
          <w:rFonts w:hint="default"/>
          <w:sz w:val="18"/>
          <w:szCs w:val="24"/>
          <w:lang w:val="zh-CN"/>
        </w:rPr>
      </w:pPr>
      <w:r>
        <w:rPr>
          <w:rFonts w:hint="default"/>
          <w:sz w:val="18"/>
          <w:szCs w:val="24"/>
          <w:lang w:val="zh-CN"/>
        </w:rPr>
        <w:t>2014</w:t>
      </w:r>
      <w:r>
        <w:rPr>
          <w:rFonts w:hint="eastAsia" w:ascii="宋体"/>
          <w:sz w:val="18"/>
          <w:szCs w:val="24"/>
          <w:lang w:val="zh-CN"/>
        </w:rPr>
        <w:t>年</w:t>
      </w:r>
      <w:r>
        <w:rPr>
          <w:rFonts w:hint="default"/>
          <w:sz w:val="18"/>
          <w:szCs w:val="24"/>
          <w:lang w:val="zh-CN"/>
        </w:rPr>
        <w:t xml:space="preserve">10 </w:t>
      </w:r>
      <w:r>
        <w:rPr>
          <w:rFonts w:hint="eastAsia" w:ascii="宋体"/>
          <w:sz w:val="18"/>
          <w:szCs w:val="24"/>
          <w:lang w:val="zh-CN"/>
        </w:rPr>
        <w:t>月公司全资子公司伟隆五金将其土地房屋租赁给青岛利和萃取科技有限公司；</w:t>
      </w:r>
      <w:r>
        <w:rPr>
          <w:rFonts w:hint="default"/>
          <w:sz w:val="18"/>
          <w:szCs w:val="24"/>
          <w:lang w:val="zh-CN"/>
        </w:rPr>
        <w:t>2019</w:t>
      </w:r>
      <w:r>
        <w:rPr>
          <w:rFonts w:hint="eastAsia" w:ascii="宋体"/>
          <w:sz w:val="18"/>
          <w:szCs w:val="24"/>
          <w:lang w:val="zh-CN"/>
        </w:rPr>
        <w:t>年，公司全资子公司莱州伟隆将其位于莱州市沙河镇海郑村东房屋分别租赁给莱州市沙河镇海磊德机械厂、烟台艾鑫塑料粉未有限公司、莱州市沙河镇淑芝五金加工厂、莱州市沙河镇邹鑫机械加工厂、莱州市沙河镇金璇机械加工厂、范善洲、莱州市森发包装箱有限公司等用于生产经营；</w:t>
      </w:r>
      <w:r>
        <w:rPr>
          <w:rFonts w:hint="default"/>
          <w:sz w:val="18"/>
          <w:szCs w:val="24"/>
          <w:lang w:val="zh-CN"/>
        </w:rPr>
        <w:t>2020</w:t>
      </w:r>
      <w:r>
        <w:rPr>
          <w:rFonts w:hint="eastAsia" w:ascii="宋体"/>
          <w:sz w:val="18"/>
          <w:szCs w:val="24"/>
          <w:lang w:val="zh-CN"/>
        </w:rPr>
        <w:t>年，公司全资子公司青岛即聚机电有限责任公司将其位于山东省青岛市即墨区蓝村镇兴和路</w:t>
      </w:r>
      <w:r>
        <w:rPr>
          <w:rFonts w:hint="default"/>
          <w:sz w:val="18"/>
          <w:szCs w:val="24"/>
          <w:lang w:val="zh-CN"/>
        </w:rPr>
        <w:t>45</w:t>
      </w:r>
      <w:r>
        <w:rPr>
          <w:rFonts w:hint="eastAsia" w:ascii="宋体"/>
          <w:sz w:val="18"/>
          <w:szCs w:val="24"/>
          <w:lang w:val="zh-CN"/>
        </w:rPr>
        <w:t>号的一部分厂房对外租赁。</w:t>
      </w:r>
    </w:p>
    <w:p>
      <w:pPr>
        <w:spacing w:beforeLines="0" w:afterLines="0"/>
        <w:jc w:val="left"/>
        <w:rPr>
          <w:rFonts w:hint="default"/>
          <w:sz w:val="18"/>
          <w:szCs w:val="24"/>
        </w:rPr>
      </w:pPr>
      <w:r>
        <w:rPr>
          <w:rFonts w:hint="eastAsia"/>
          <w:sz w:val="18"/>
          <w:szCs w:val="24"/>
        </w:rPr>
        <w:t>为公司带来的损益达到公司报告期利润总额</w:t>
      </w:r>
      <w:r>
        <w:rPr>
          <w:rFonts w:hint="default"/>
          <w:sz w:val="18"/>
          <w:szCs w:val="24"/>
        </w:rPr>
        <w:t>10%</w:t>
      </w:r>
      <w:r>
        <w:rPr>
          <w:rFonts w:hint="eastAsia"/>
          <w:sz w:val="18"/>
          <w:szCs w:val="24"/>
        </w:rPr>
        <w:t>以上的项目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公司报告期不存在为公司带来的损益达到公司报告期利润总额</w:t>
      </w:r>
      <w:r>
        <w:rPr>
          <w:rFonts w:hint="default"/>
          <w:sz w:val="18"/>
          <w:szCs w:val="24"/>
        </w:rPr>
        <w:t>10%</w:t>
      </w:r>
      <w:r>
        <w:rPr>
          <w:rFonts w:hint="eastAsia"/>
          <w:sz w:val="18"/>
          <w:szCs w:val="24"/>
        </w:rPr>
        <w:t>以上的租赁项目。</w:t>
      </w:r>
    </w:p>
    <w:p>
      <w:pPr>
        <w:pStyle w:val="7"/>
        <w:spacing w:beforeLines="0" w:afterLines="0"/>
        <w:outlineLvl w:val="2"/>
        <w:rPr>
          <w:rFonts w:hint="default"/>
          <w:sz w:val="21"/>
          <w:szCs w:val="24"/>
        </w:rPr>
      </w:pPr>
      <w:r>
        <w:rPr>
          <w:rFonts w:hint="default"/>
          <w:sz w:val="21"/>
          <w:szCs w:val="24"/>
        </w:rPr>
        <w:t>2</w:t>
      </w:r>
      <w:r>
        <w:rPr>
          <w:rFonts w:hint="eastAsia"/>
          <w:sz w:val="21"/>
          <w:szCs w:val="24"/>
        </w:rPr>
        <w:t>、重大担保</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公司报告期不存在重大担保情况。</w:t>
      </w:r>
    </w:p>
    <w:p>
      <w:pPr>
        <w:pStyle w:val="7"/>
        <w:spacing w:beforeLines="0" w:afterLines="0"/>
        <w:outlineLvl w:val="2"/>
        <w:rPr>
          <w:rFonts w:hint="default"/>
          <w:sz w:val="21"/>
          <w:szCs w:val="24"/>
        </w:rPr>
      </w:pPr>
      <w:r>
        <w:rPr>
          <w:rFonts w:hint="default"/>
          <w:sz w:val="21"/>
          <w:szCs w:val="24"/>
        </w:rPr>
        <w:t>3</w:t>
      </w:r>
      <w:r>
        <w:rPr>
          <w:rFonts w:hint="eastAsia"/>
          <w:sz w:val="21"/>
          <w:szCs w:val="24"/>
        </w:rPr>
        <w:t>、委托他人进行现金资产管理情况</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）委托理财情况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报告期内委托理财概况</w:t>
      </w:r>
    </w:p>
    <w:p>
      <w:pPr>
        <w:spacing w:beforeLines="0" w:afterLines="0"/>
        <w:jc w:val="right"/>
        <w:rPr>
          <w:rFonts w:hint="default"/>
          <w:sz w:val="18"/>
          <w:szCs w:val="24"/>
        </w:rPr>
      </w:pPr>
      <w:r>
        <w:rPr>
          <w:rFonts w:hint="eastAsia"/>
          <w:sz w:val="18"/>
          <w:szCs w:val="24"/>
        </w:rPr>
        <w:t>单位：万元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5"/>
        <w:gridCol w:w="1641"/>
        <w:gridCol w:w="1660"/>
        <w:gridCol w:w="1601"/>
        <w:gridCol w:w="1551"/>
        <w:gridCol w:w="1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具体类型</w:t>
            </w:r>
          </w:p>
        </w:tc>
        <w:tc>
          <w:tcPr>
            <w:tcW w:w="164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委托理财的资金来源</w:t>
            </w:r>
          </w:p>
        </w:tc>
        <w:tc>
          <w:tcPr>
            <w:tcW w:w="16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委托理财发生额</w:t>
            </w:r>
          </w:p>
        </w:tc>
        <w:tc>
          <w:tcPr>
            <w:tcW w:w="16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未到期余额</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逾期未收回的金额</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逾期未收回理财已计提减值金额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银行理财产品</w:t>
            </w:r>
          </w:p>
        </w:tc>
        <w:tc>
          <w:tcPr>
            <w:tcW w:w="16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自有资金</w:t>
            </w:r>
          </w:p>
        </w:tc>
        <w:tc>
          <w:tcPr>
            <w:tcW w:w="16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23,200</w:t>
            </w:r>
          </w:p>
        </w:tc>
        <w:tc>
          <w:tcPr>
            <w:tcW w:w="16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16,200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信托理财产品</w:t>
            </w:r>
          </w:p>
        </w:tc>
        <w:tc>
          <w:tcPr>
            <w:tcW w:w="164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自有资金</w:t>
            </w:r>
          </w:p>
        </w:tc>
        <w:tc>
          <w:tcPr>
            <w:tcW w:w="16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w:t>
            </w:r>
          </w:p>
        </w:tc>
        <w:tc>
          <w:tcPr>
            <w:tcW w:w="16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20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6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31,500</w:t>
            </w:r>
          </w:p>
        </w:tc>
        <w:tc>
          <w:tcPr>
            <w:tcW w:w="16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20,200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bl>
    <w:p>
      <w:pPr>
        <w:spacing w:beforeLines="0" w:afterLines="0"/>
        <w:jc w:val="left"/>
        <w:rPr>
          <w:rFonts w:hint="default"/>
          <w:sz w:val="18"/>
          <w:szCs w:val="24"/>
        </w:rPr>
      </w:pPr>
      <w:r>
        <w:rPr>
          <w:rFonts w:hint="eastAsia"/>
          <w:sz w:val="18"/>
          <w:szCs w:val="24"/>
        </w:rPr>
        <w:t>单项金额重大或安全性较低、流动性较差的高风险委托理财具体情况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委托理财出现预期无法收回本金或存在其他可能导致减值的情形</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）委托贷款情况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公司报告期不存在委托贷款。</w:t>
      </w:r>
    </w:p>
    <w:p>
      <w:pPr>
        <w:pStyle w:val="7"/>
        <w:spacing w:beforeLines="0" w:afterLines="0"/>
        <w:outlineLvl w:val="2"/>
        <w:rPr>
          <w:rFonts w:hint="default"/>
          <w:sz w:val="21"/>
          <w:szCs w:val="24"/>
        </w:rPr>
      </w:pPr>
      <w:r>
        <w:rPr>
          <w:rFonts w:hint="default"/>
          <w:sz w:val="21"/>
          <w:szCs w:val="24"/>
        </w:rPr>
        <w:t>4</w:t>
      </w:r>
      <w:r>
        <w:rPr>
          <w:rFonts w:hint="eastAsia"/>
          <w:sz w:val="21"/>
          <w:szCs w:val="24"/>
        </w:rPr>
        <w:t>、其他重大合同</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公司报告期不存在其他重大合同。</w:t>
      </w:r>
    </w:p>
    <w:p>
      <w:pPr>
        <w:pStyle w:val="6"/>
        <w:spacing w:beforeLines="0" w:afterLines="0"/>
        <w:outlineLvl w:val="1"/>
        <w:rPr>
          <w:rFonts w:hint="default"/>
          <w:sz w:val="24"/>
          <w:szCs w:val="24"/>
        </w:rPr>
      </w:pPr>
      <w:r>
        <w:rPr>
          <w:rFonts w:hint="eastAsia"/>
          <w:sz w:val="24"/>
          <w:szCs w:val="24"/>
        </w:rPr>
        <w:t>十六、其他重大事项的说明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公司报告期不存在需要说明的其他重大事项。</w:t>
      </w:r>
    </w:p>
    <w:p>
      <w:pPr>
        <w:pStyle w:val="6"/>
        <w:spacing w:beforeLines="0" w:afterLines="0"/>
        <w:outlineLvl w:val="1"/>
        <w:rPr>
          <w:rFonts w:hint="default"/>
          <w:sz w:val="24"/>
          <w:szCs w:val="24"/>
        </w:rPr>
      </w:pPr>
      <w:r>
        <w:rPr>
          <w:rFonts w:hint="eastAsia"/>
          <w:sz w:val="24"/>
          <w:szCs w:val="24"/>
        </w:rPr>
        <w:t>十七、公司子公司重大事项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autoSpaceDE w:val="0"/>
        <w:autoSpaceDN w:val="0"/>
        <w:adjustRightInd w:val="0"/>
        <w:spacing w:before="0" w:beforeLines="0" w:after="0" w:afterLines="0"/>
        <w:ind w:firstLine="450" w:firstLineChars="250"/>
        <w:jc w:val="left"/>
        <w:rPr>
          <w:rFonts w:hint="eastAsia" w:ascii="宋体"/>
          <w:sz w:val="18"/>
          <w:szCs w:val="24"/>
          <w:lang w:val="zh-CN"/>
        </w:rPr>
      </w:pPr>
      <w:r>
        <w:rPr>
          <w:rFonts w:hint="eastAsia" w:ascii="宋体"/>
          <w:sz w:val="18"/>
          <w:szCs w:val="24"/>
          <w:lang w:val="zh-CN"/>
        </w:rPr>
        <w:t>公司全资子公司莱州伟隆阀门有限公司于</w:t>
      </w:r>
      <w:r>
        <w:rPr>
          <w:rFonts w:hint="default"/>
          <w:sz w:val="18"/>
          <w:szCs w:val="24"/>
          <w:lang w:val="zh-CN"/>
        </w:rPr>
        <w:t>2020</w:t>
      </w:r>
      <w:r>
        <w:rPr>
          <w:rFonts w:hint="eastAsia" w:ascii="宋体"/>
          <w:sz w:val="18"/>
          <w:szCs w:val="24"/>
          <w:lang w:val="zh-CN"/>
        </w:rPr>
        <w:t>年</w:t>
      </w:r>
      <w:r>
        <w:rPr>
          <w:rFonts w:hint="default"/>
          <w:sz w:val="18"/>
          <w:szCs w:val="24"/>
          <w:lang w:val="zh-CN"/>
        </w:rPr>
        <w:t>12</w:t>
      </w:r>
      <w:r>
        <w:rPr>
          <w:rFonts w:hint="eastAsia" w:ascii="宋体"/>
          <w:sz w:val="18"/>
          <w:szCs w:val="24"/>
          <w:lang w:val="zh-CN"/>
        </w:rPr>
        <w:t>月</w:t>
      </w:r>
      <w:r>
        <w:rPr>
          <w:rFonts w:hint="default"/>
          <w:sz w:val="18"/>
          <w:szCs w:val="24"/>
          <w:lang w:val="zh-CN"/>
        </w:rPr>
        <w:t>24</w:t>
      </w:r>
      <w:r>
        <w:rPr>
          <w:rFonts w:hint="eastAsia" w:ascii="宋体"/>
          <w:sz w:val="18"/>
          <w:szCs w:val="24"/>
          <w:lang w:val="zh-CN"/>
        </w:rPr>
        <w:t>日收到山东省莱州市人民法院（</w:t>
      </w:r>
      <w:r>
        <w:rPr>
          <w:rFonts w:hint="default"/>
          <w:sz w:val="18"/>
          <w:szCs w:val="24"/>
          <w:lang w:val="zh-CN"/>
        </w:rPr>
        <w:t>2020</w:t>
      </w:r>
      <w:r>
        <w:rPr>
          <w:rFonts w:hint="eastAsia" w:ascii="宋体"/>
          <w:sz w:val="18"/>
          <w:szCs w:val="24"/>
          <w:lang w:val="zh-CN"/>
        </w:rPr>
        <w:t>）鲁</w:t>
      </w:r>
      <w:r>
        <w:rPr>
          <w:rFonts w:hint="default"/>
          <w:sz w:val="18"/>
          <w:szCs w:val="24"/>
          <w:lang w:val="zh-CN"/>
        </w:rPr>
        <w:t>0683</w:t>
      </w:r>
      <w:r>
        <w:rPr>
          <w:rFonts w:hint="eastAsia" w:ascii="宋体"/>
          <w:sz w:val="18"/>
          <w:szCs w:val="24"/>
          <w:lang w:val="zh-CN"/>
        </w:rPr>
        <w:t>民初</w:t>
      </w:r>
      <w:r>
        <w:rPr>
          <w:rFonts w:hint="default"/>
          <w:sz w:val="18"/>
          <w:szCs w:val="24"/>
          <w:lang w:val="zh-CN"/>
        </w:rPr>
        <w:t>8092</w:t>
      </w:r>
      <w:r>
        <w:rPr>
          <w:rFonts w:hint="eastAsia" w:ascii="宋体"/>
          <w:sz w:val="18"/>
          <w:szCs w:val="24"/>
          <w:lang w:val="zh-CN"/>
        </w:rPr>
        <w:t>号应诉通知书，因莱州辉瑞仓储有限公司与莱州辰英特机械制造有限公司</w:t>
      </w:r>
      <w:r>
        <w:rPr>
          <w:rFonts w:hint="default"/>
          <w:sz w:val="18"/>
          <w:szCs w:val="24"/>
          <w:lang w:val="zh-CN"/>
        </w:rPr>
        <w:t>2019</w:t>
      </w:r>
      <w:r>
        <w:rPr>
          <w:rFonts w:hint="eastAsia" w:ascii="宋体"/>
          <w:sz w:val="18"/>
          <w:szCs w:val="24"/>
          <w:lang w:val="zh-CN"/>
        </w:rPr>
        <w:t>年</w:t>
      </w:r>
      <w:r>
        <w:rPr>
          <w:rFonts w:hint="default"/>
          <w:sz w:val="18"/>
          <w:szCs w:val="24"/>
          <w:lang w:val="zh-CN"/>
        </w:rPr>
        <w:t>1</w:t>
      </w:r>
      <w:r>
        <w:rPr>
          <w:rFonts w:hint="eastAsia" w:ascii="宋体"/>
          <w:sz w:val="18"/>
          <w:szCs w:val="24"/>
          <w:lang w:val="zh-CN"/>
        </w:rPr>
        <w:t>月签订的买卖合同纠纷，莱州辉瑞仓储有限公司提起对莱州辰英特机械制造有限公司、莱州伟隆阀门有限公司等十名被告诉讼并申请财产保全，截至</w:t>
      </w:r>
      <w:r>
        <w:rPr>
          <w:rFonts w:hint="default"/>
          <w:sz w:val="18"/>
          <w:szCs w:val="24"/>
          <w:lang w:val="zh-CN"/>
        </w:rPr>
        <w:t>2021</w:t>
      </w:r>
      <w:r>
        <w:rPr>
          <w:rFonts w:hint="eastAsia" w:ascii="宋体"/>
          <w:sz w:val="18"/>
          <w:szCs w:val="24"/>
          <w:lang w:val="zh-CN"/>
        </w:rPr>
        <w:t>年</w:t>
      </w:r>
      <w:r>
        <w:rPr>
          <w:rFonts w:hint="default"/>
          <w:sz w:val="18"/>
          <w:szCs w:val="24"/>
          <w:lang w:val="zh-CN"/>
        </w:rPr>
        <w:t>6</w:t>
      </w:r>
      <w:r>
        <w:rPr>
          <w:rFonts w:hint="eastAsia" w:ascii="宋体"/>
          <w:sz w:val="18"/>
          <w:szCs w:val="24"/>
          <w:lang w:val="zh-CN"/>
        </w:rPr>
        <w:t>月</w:t>
      </w:r>
      <w:r>
        <w:rPr>
          <w:rFonts w:hint="default"/>
          <w:sz w:val="18"/>
          <w:szCs w:val="24"/>
          <w:lang w:val="zh-CN"/>
        </w:rPr>
        <w:t>30</w:t>
      </w:r>
      <w:r>
        <w:rPr>
          <w:rFonts w:hint="eastAsia" w:ascii="宋体"/>
          <w:sz w:val="18"/>
          <w:szCs w:val="24"/>
          <w:lang w:val="zh-CN"/>
        </w:rPr>
        <w:t>日冻结账户资金</w:t>
      </w:r>
      <w:r>
        <w:rPr>
          <w:rFonts w:hint="default"/>
          <w:sz w:val="18"/>
          <w:szCs w:val="24"/>
          <w:lang w:val="zh-CN"/>
        </w:rPr>
        <w:t>294</w:t>
      </w:r>
      <w:r>
        <w:rPr>
          <w:rFonts w:hint="eastAsia" w:ascii="宋体"/>
          <w:sz w:val="18"/>
          <w:szCs w:val="24"/>
          <w:lang w:val="zh-CN"/>
        </w:rPr>
        <w:t>万元。莱州市人民法院于</w:t>
      </w:r>
      <w:r>
        <w:rPr>
          <w:rFonts w:hint="default"/>
          <w:sz w:val="18"/>
          <w:szCs w:val="24"/>
          <w:lang w:val="zh-CN"/>
        </w:rPr>
        <w:t>2021</w:t>
      </w:r>
      <w:r>
        <w:rPr>
          <w:rFonts w:hint="eastAsia" w:ascii="宋体"/>
          <w:sz w:val="18"/>
          <w:szCs w:val="24"/>
          <w:lang w:val="zh-CN"/>
        </w:rPr>
        <w:t>年</w:t>
      </w:r>
      <w:r>
        <w:rPr>
          <w:rFonts w:hint="default"/>
          <w:sz w:val="18"/>
          <w:szCs w:val="24"/>
          <w:lang w:val="zh-CN"/>
        </w:rPr>
        <w:t>1</w:t>
      </w:r>
      <w:r>
        <w:rPr>
          <w:rFonts w:hint="eastAsia" w:ascii="宋体"/>
          <w:sz w:val="18"/>
          <w:szCs w:val="24"/>
          <w:lang w:val="zh-CN"/>
        </w:rPr>
        <w:t>月</w:t>
      </w:r>
      <w:r>
        <w:rPr>
          <w:rFonts w:hint="default"/>
          <w:sz w:val="18"/>
          <w:szCs w:val="24"/>
          <w:lang w:val="zh-CN"/>
        </w:rPr>
        <w:t>14</w:t>
      </w:r>
      <w:r>
        <w:rPr>
          <w:rFonts w:hint="eastAsia" w:ascii="宋体"/>
          <w:sz w:val="18"/>
          <w:szCs w:val="24"/>
          <w:lang w:val="zh-CN"/>
        </w:rPr>
        <w:t>日一审开庭调查结束，一审判决为，原告诉讼公司承担连带担保责任无效，但对给付义务责任范围内以债务人不能清偿部分向原告承担</w:t>
      </w:r>
      <w:r>
        <w:rPr>
          <w:rFonts w:hint="default"/>
          <w:sz w:val="18"/>
          <w:szCs w:val="24"/>
          <w:lang w:val="zh-CN"/>
        </w:rPr>
        <w:t>50%</w:t>
      </w:r>
      <w:r>
        <w:rPr>
          <w:rFonts w:hint="eastAsia" w:ascii="宋体"/>
          <w:sz w:val="18"/>
          <w:szCs w:val="24"/>
          <w:lang w:val="zh-CN"/>
        </w:rPr>
        <w:t>的补充赔偿责任。公司在收到一审判决后，向烟台市中级人民法院提起二审上诉，2021年11月3日二审法院终审裁决维持原判。</w:t>
      </w:r>
    </w:p>
    <w:p>
      <w:pPr>
        <w:autoSpaceDE w:val="0"/>
        <w:autoSpaceDN w:val="0"/>
        <w:adjustRightInd w:val="0"/>
        <w:spacing w:before="0" w:beforeLines="0" w:after="0" w:afterLines="0"/>
        <w:ind w:firstLine="270" w:firstLineChars="150"/>
        <w:jc w:val="left"/>
        <w:rPr>
          <w:rFonts w:hint="default" w:eastAsia="Times New Roman"/>
          <w:sz w:val="18"/>
          <w:szCs w:val="24"/>
          <w:lang w:val="zh-CN"/>
        </w:rPr>
      </w:pPr>
      <w:r>
        <w:rPr>
          <w:rFonts w:hint="eastAsia" w:ascii="宋体"/>
          <w:sz w:val="18"/>
          <w:szCs w:val="24"/>
          <w:lang w:val="zh-CN"/>
        </w:rPr>
        <w:t>此买卖合同纠纷案件诉讼金额</w:t>
      </w:r>
      <w:r>
        <w:rPr>
          <w:rFonts w:hint="default" w:eastAsia="Times New Roman"/>
          <w:sz w:val="18"/>
          <w:szCs w:val="24"/>
          <w:lang w:val="zh-CN"/>
        </w:rPr>
        <w:t>1505.174</w:t>
      </w:r>
      <w:r>
        <w:rPr>
          <w:rFonts w:hint="eastAsia" w:ascii="宋体"/>
          <w:sz w:val="18"/>
          <w:szCs w:val="24"/>
          <w:lang w:val="zh-CN"/>
        </w:rPr>
        <w:t>万元没有达到信息披露标准要求，二审法院终审判决由莱州伟隆阀门有限公司承担相关补充赔偿责任已由相关责任人承担赔偿结案，没有对公司及子公司经营造成重大不利影响。</w:t>
      </w:r>
    </w:p>
    <w:p>
      <w:pPr>
        <w:autoSpaceDE w:val="0"/>
        <w:autoSpaceDN w:val="0"/>
        <w:adjustRightInd w:val="0"/>
        <w:spacing w:before="0" w:beforeLines="0" w:after="0" w:afterLines="0"/>
        <w:jc w:val="left"/>
        <w:rPr>
          <w:rFonts w:hint="default"/>
          <w:sz w:val="24"/>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6" w:name="_Toc300000090"/>
      <w:r>
        <w:rPr>
          <w:rFonts w:hint="eastAsia"/>
          <w:sz w:val="32"/>
          <w:szCs w:val="24"/>
        </w:rPr>
        <w:t>第七节</w:t>
      </w:r>
      <w:r>
        <w:rPr>
          <w:rFonts w:hint="default"/>
          <w:sz w:val="32"/>
          <w:szCs w:val="24"/>
        </w:rPr>
        <w:t xml:space="preserve"> </w:t>
      </w:r>
      <w:r>
        <w:rPr>
          <w:rFonts w:hint="eastAsia"/>
          <w:sz w:val="32"/>
          <w:szCs w:val="24"/>
        </w:rPr>
        <w:t>股份变动及股东情况</w:t>
      </w:r>
      <w:bookmarkEnd w:id="6"/>
    </w:p>
    <w:p>
      <w:pPr>
        <w:pStyle w:val="6"/>
        <w:spacing w:beforeLines="0" w:afterLines="0"/>
        <w:outlineLvl w:val="1"/>
        <w:rPr>
          <w:rFonts w:hint="default"/>
          <w:sz w:val="24"/>
          <w:szCs w:val="24"/>
        </w:rPr>
      </w:pPr>
      <w:r>
        <w:rPr>
          <w:rFonts w:hint="eastAsia"/>
          <w:sz w:val="24"/>
          <w:szCs w:val="24"/>
        </w:rPr>
        <w:t>一、股份变动情况</w:t>
      </w:r>
    </w:p>
    <w:p>
      <w:pPr>
        <w:pStyle w:val="7"/>
        <w:spacing w:beforeLines="0" w:afterLines="0"/>
        <w:outlineLvl w:val="2"/>
        <w:rPr>
          <w:rFonts w:hint="default"/>
          <w:sz w:val="21"/>
          <w:szCs w:val="24"/>
        </w:rPr>
      </w:pPr>
      <w:r>
        <w:rPr>
          <w:rFonts w:hint="default"/>
          <w:sz w:val="21"/>
          <w:szCs w:val="24"/>
        </w:rPr>
        <w:t>1</w:t>
      </w:r>
      <w:r>
        <w:rPr>
          <w:rFonts w:hint="eastAsia"/>
          <w:sz w:val="21"/>
          <w:szCs w:val="24"/>
        </w:rPr>
        <w:t>、股份变动情况</w:t>
      </w:r>
    </w:p>
    <w:p>
      <w:pPr>
        <w:spacing w:beforeLines="0" w:afterLines="0"/>
        <w:jc w:val="right"/>
        <w:rPr>
          <w:rFonts w:hint="default"/>
          <w:sz w:val="18"/>
          <w:szCs w:val="24"/>
        </w:rPr>
      </w:pPr>
      <w:r>
        <w:rPr>
          <w:rFonts w:hint="eastAsia"/>
          <w:sz w:val="18"/>
          <w:szCs w:val="24"/>
        </w:rPr>
        <w:t>单位：股</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27"/>
        <w:gridCol w:w="823"/>
        <w:gridCol w:w="823"/>
        <w:gridCol w:w="823"/>
        <w:gridCol w:w="822"/>
        <w:gridCol w:w="822"/>
        <w:gridCol w:w="822"/>
        <w:gridCol w:w="822"/>
        <w:gridCol w:w="794"/>
        <w:gridCol w:w="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64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本次变动前</w:t>
            </w:r>
          </w:p>
        </w:tc>
        <w:tc>
          <w:tcPr>
            <w:tcW w:w="4111"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本次变动增减（＋，－）</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本次变动后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发行新股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送股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公积金转股</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一、有限售条件股份</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60,381,250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51.73%</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20,574,378</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2,341,429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22,915,807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83,297,057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、国家持股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、国有法人持股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、其他内资持股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60,381,250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20,574,378</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2,341,429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22,915,807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83,297,057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其中：境内法人持股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境内自然人持股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60,381,250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20,574,378</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2,341,429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22,915,807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83,297,057</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、外资持股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其中：境外法人持股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境外自然人持股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二、无限售条件股份</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56,340,750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48.27%</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31,931,622</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-2,383,429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29,548,193</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85,888,943</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、人民币普通股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56,340,750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31,931,622</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-2,383,429</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29,548,193</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85,888,943</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、境内上市的外资股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、境外上市的外资股</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、其他</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三、股份总数</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82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w:t>
            </w:r>
          </w:p>
        </w:tc>
        <w:tc>
          <w:tcPr>
            <w:tcW w:w="8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52,464,000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169,186,000</w:t>
            </w:r>
          </w:p>
        </w:tc>
        <w:tc>
          <w:tcPr>
            <w:tcW w:w="7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bl>
    <w:p>
      <w:pPr>
        <w:spacing w:beforeLines="0" w:afterLines="0"/>
        <w:jc w:val="left"/>
        <w:rPr>
          <w:rFonts w:hint="default"/>
          <w:sz w:val="18"/>
          <w:szCs w:val="24"/>
        </w:rPr>
      </w:pPr>
      <w:r>
        <w:rPr>
          <w:rFonts w:hint="eastAsia"/>
          <w:sz w:val="18"/>
          <w:szCs w:val="24"/>
        </w:rPr>
        <w:t>股份变动的原因</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公司2020年度股东大会审议通过的利润分配及资本公积金转增股本方案为：以2020年12月31日公司总股本11,668.00万股为基数，向全体股东每10股派息4.50元（含税）</w:t>
      </w:r>
      <w:r>
        <w:rPr>
          <w:rFonts w:hint="eastAsia" w:ascii="宋体" w:cs="宋体"/>
          <w:sz w:val="18"/>
          <w:szCs w:val="24"/>
          <w:lang w:val="zh-CN"/>
        </w:rPr>
        <w:t>,</w:t>
      </w:r>
      <w:r>
        <w:rPr>
          <w:rFonts w:hint="eastAsia" w:ascii="宋体" w:hAnsi="宋体" w:cs="宋体"/>
          <w:sz w:val="18"/>
          <w:szCs w:val="24"/>
          <w:lang w:val="zh-CN"/>
        </w:rPr>
        <w:t>共派发现金红利5,250.60万元，同时以资本公积向全体股东每10股转增4.50股，共计转增5,250.60万股。转增金额未超过报告期末“资本公积—股本溢价”的余额，转增后公司总股本增加至16,918.60万股。具体内容详见公司于2021年5月24日在《证券时报》、《中国证券报》、《证券日报》和巨潮资讯网（www.cninfo.com.cn）披露的《2020年度分红派息、转增股本实施公告》（公告编号：2021-042）</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公司2018年限制性股票激励计划的激励对象2名因个人原因离职，根据公司《2018年限制性股票激励计划（草案）》（以下简称“激励计划”）的规定，公司董事会决定对徐建平、王焕先所持已获授但尚未解锁的42,000股限制性股票进行回购注销。具体内容详见公司于2020年11月25日在《证券时报》、《中国证券报》、《证券日报》和巨潮资讯网（www.cninfo.com.cn）披露的《关于回购注销部分限制性股票的减资公告》（公告编号：2020-085）</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公司于2021年6月29日召开第四届董事会第三次会议，审议通过了《关于回购公司股份方案的议案》，截至2021年9月17日，公司通过回购专用证券账户以集中竞价方式回购计划已实施完毕。本次累计回购公司股份数3,147,626股，占公司总股本的1.86%。本次回购股份的最高成交价格为9.95元/股，最低成交价格为8.97元/股，成交总金额为2,999.985万元（不含交易费用）。具体内容详见公司于2021年9月18日在《证券时报》、《中国证券报》、《证券日报》和巨潮资讯网（www.cninfo.com.cn）披露的《关于公司股份回购实施完成暨股份变动的公告》（公告编号：2021-072）</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2021年9月28日召开第四届董事会第五次会议、第四届监事会第四次会议，审议通过了《2021年限制性股票激励计划（草案）》，同意以2021年10月28日为授予日，向符合条件的80名激励对象授予272万股限制性股票，实施限制性股票激励计划后，公司从二级市场回购本公司A股普通股剩余427,626股。具体内容详见公司于2021年10月28日在《证券时报》、《中国证券报》、《证券日报》和巨潮资讯网（www.cninfo.com.cn）披露的《关于向激励对象授予限制性股票的公告》（公告编号：2021-087）</w:t>
      </w:r>
    </w:p>
    <w:p>
      <w:pPr>
        <w:tabs>
          <w:tab w:val="left" w:pos="-900"/>
        </w:tabs>
        <w:autoSpaceDE w:val="0"/>
        <w:autoSpaceDN w:val="0"/>
        <w:adjustRightInd w:val="0"/>
        <w:spacing w:beforeLines="0" w:afterLines="0"/>
        <w:ind w:firstLine="360" w:firstLineChars="200"/>
        <w:jc w:val="left"/>
        <w:rPr>
          <w:rFonts w:hint="eastAsia" w:ascii="宋体" w:cs="宋体"/>
          <w:sz w:val="18"/>
          <w:szCs w:val="24"/>
          <w:lang w:val="zh-CN"/>
        </w:rPr>
      </w:pPr>
      <w:r>
        <w:rPr>
          <w:rFonts w:hint="eastAsia" w:ascii="宋体" w:hAnsi="宋体" w:cs="宋体"/>
          <w:sz w:val="18"/>
          <w:szCs w:val="24"/>
          <w:lang w:val="zh-CN"/>
        </w:rPr>
        <w:t>公司分别于2021年11月24日、2021年12月10日，召开了第四届董事会第七次会议、第四届监事会第六次会议及2021年第三次临时股东大会审议通过了《关于2018年限制性股票激励计划第三个解锁期解锁条件成就的议案》、《关于调整限制性股票回购价格的议案》、《关于回购注销部分限制性股票的议案》等议案。经董事会审议，认为公司本次股权激励计划第三个解除限售期解除限售条件已成就，同意为激励对象统一办理符合解除限售条件的限制性股票的解除限售事宜。同时，董事会同意将已不符合激励条件的激励对象已获授但尚未解除限售的限制性股票37,700股进行回购注销。</w:t>
      </w:r>
    </w:p>
    <w:p>
      <w:pPr>
        <w:spacing w:beforeLines="0" w:afterLines="0"/>
        <w:jc w:val="left"/>
        <w:rPr>
          <w:rFonts w:hint="default"/>
          <w:sz w:val="18"/>
          <w:szCs w:val="24"/>
        </w:rPr>
      </w:pPr>
      <w:r>
        <w:rPr>
          <w:rFonts w:hint="eastAsia"/>
          <w:sz w:val="18"/>
          <w:szCs w:val="24"/>
        </w:rPr>
        <w:t>股份变动的批准情况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tabs>
          <w:tab w:val="left" w:pos="-900"/>
        </w:tabs>
        <w:autoSpaceDE w:val="0"/>
        <w:autoSpaceDN w:val="0"/>
        <w:adjustRightInd w:val="0"/>
        <w:spacing w:beforeLines="0" w:afterLines="0"/>
        <w:ind w:firstLine="360" w:firstLineChars="200"/>
        <w:jc w:val="left"/>
        <w:rPr>
          <w:rFonts w:hint="default" w:eastAsia="Times New Roman"/>
          <w:sz w:val="18"/>
          <w:szCs w:val="24"/>
          <w:lang w:val="zh-CN"/>
        </w:rPr>
      </w:pPr>
      <w:r>
        <w:rPr>
          <w:rFonts w:hint="eastAsia" w:ascii="宋体" w:hAnsi="宋体" w:cs="宋体"/>
          <w:sz w:val="18"/>
          <w:szCs w:val="24"/>
          <w:lang w:val="zh-CN"/>
        </w:rPr>
        <w:t>公司于</w:t>
      </w:r>
      <w:r>
        <w:rPr>
          <w:rFonts w:hint="default" w:eastAsia="Times New Roman"/>
          <w:sz w:val="18"/>
          <w:szCs w:val="24"/>
          <w:lang w:val="zh-CN"/>
        </w:rPr>
        <w:t>2021</w:t>
      </w:r>
      <w:r>
        <w:rPr>
          <w:rFonts w:hint="eastAsia" w:ascii="宋体" w:hAnsi="宋体" w:cs="宋体"/>
          <w:sz w:val="18"/>
          <w:szCs w:val="24"/>
          <w:lang w:val="zh-CN"/>
        </w:rPr>
        <w:t>年</w:t>
      </w:r>
      <w:r>
        <w:rPr>
          <w:rFonts w:hint="default" w:eastAsia="Times New Roman"/>
          <w:sz w:val="18"/>
          <w:szCs w:val="24"/>
          <w:lang w:val="zh-CN"/>
        </w:rPr>
        <w:t>5</w:t>
      </w:r>
      <w:r>
        <w:rPr>
          <w:rFonts w:hint="eastAsia" w:ascii="宋体" w:hAnsi="宋体" w:cs="宋体"/>
          <w:sz w:val="18"/>
          <w:szCs w:val="24"/>
          <w:lang w:val="zh-CN"/>
        </w:rPr>
        <w:t>月</w:t>
      </w:r>
      <w:r>
        <w:rPr>
          <w:rFonts w:hint="default" w:eastAsia="Times New Roman"/>
          <w:sz w:val="18"/>
          <w:szCs w:val="24"/>
          <w:lang w:val="zh-CN"/>
        </w:rPr>
        <w:t>19</w:t>
      </w:r>
      <w:r>
        <w:rPr>
          <w:rFonts w:hint="eastAsia" w:ascii="宋体" w:hAnsi="宋体" w:cs="宋体"/>
          <w:sz w:val="18"/>
          <w:szCs w:val="24"/>
          <w:lang w:val="zh-CN"/>
        </w:rPr>
        <w:t>日召开的</w:t>
      </w:r>
      <w:r>
        <w:rPr>
          <w:rFonts w:hint="default" w:eastAsia="Times New Roman"/>
          <w:sz w:val="18"/>
          <w:szCs w:val="24"/>
          <w:lang w:val="zh-CN"/>
        </w:rPr>
        <w:t>2020</w:t>
      </w:r>
      <w:r>
        <w:rPr>
          <w:rFonts w:hint="eastAsia" w:ascii="宋体" w:hAnsi="宋体" w:cs="宋体"/>
          <w:sz w:val="18"/>
          <w:szCs w:val="24"/>
          <w:lang w:val="zh-CN"/>
        </w:rPr>
        <w:t>年度股东大会审议通过了《关于</w:t>
      </w:r>
      <w:r>
        <w:rPr>
          <w:rFonts w:hint="default" w:eastAsia="Times New Roman"/>
          <w:sz w:val="18"/>
          <w:szCs w:val="24"/>
          <w:lang w:val="zh-CN"/>
        </w:rPr>
        <w:t>2020</w:t>
      </w:r>
      <w:r>
        <w:rPr>
          <w:rFonts w:hint="eastAsia" w:ascii="宋体" w:hAnsi="宋体" w:cs="宋体"/>
          <w:sz w:val="18"/>
          <w:szCs w:val="24"/>
          <w:lang w:val="zh-CN"/>
        </w:rPr>
        <w:t>年度利润分配及资本公积金转增股本预案的议案》。具体内容详见公司于</w:t>
      </w:r>
      <w:r>
        <w:rPr>
          <w:rFonts w:hint="default" w:eastAsia="Times New Roman"/>
          <w:sz w:val="18"/>
          <w:szCs w:val="24"/>
          <w:lang w:val="zh-CN"/>
        </w:rPr>
        <w:t>2021</w:t>
      </w:r>
      <w:r>
        <w:rPr>
          <w:rFonts w:hint="eastAsia" w:ascii="宋体" w:hAnsi="宋体" w:cs="宋体"/>
          <w:sz w:val="18"/>
          <w:szCs w:val="24"/>
          <w:lang w:val="zh-CN"/>
        </w:rPr>
        <w:t>年</w:t>
      </w:r>
      <w:r>
        <w:rPr>
          <w:rFonts w:hint="default" w:eastAsia="Times New Roman"/>
          <w:sz w:val="18"/>
          <w:szCs w:val="24"/>
          <w:lang w:val="zh-CN"/>
        </w:rPr>
        <w:t>5</w:t>
      </w:r>
      <w:r>
        <w:rPr>
          <w:rFonts w:hint="eastAsia" w:ascii="宋体" w:hAnsi="宋体" w:cs="宋体"/>
          <w:sz w:val="18"/>
          <w:szCs w:val="24"/>
          <w:lang w:val="zh-CN"/>
        </w:rPr>
        <w:t>月</w:t>
      </w:r>
      <w:r>
        <w:rPr>
          <w:rFonts w:hint="default" w:eastAsia="Times New Roman"/>
          <w:sz w:val="18"/>
          <w:szCs w:val="24"/>
          <w:lang w:val="zh-CN"/>
        </w:rPr>
        <w:t>20</w:t>
      </w:r>
      <w:r>
        <w:rPr>
          <w:rFonts w:hint="eastAsia" w:ascii="宋体" w:hAnsi="宋体" w:cs="宋体"/>
          <w:sz w:val="18"/>
          <w:szCs w:val="24"/>
          <w:lang w:val="zh-CN"/>
        </w:rPr>
        <w:t>日在《证券时报》、《中国证券报》、《证券日报》和巨潮资讯网（</w:t>
      </w:r>
      <w:r>
        <w:rPr>
          <w:rFonts w:hint="default" w:eastAsia="Times New Roman"/>
          <w:sz w:val="18"/>
          <w:szCs w:val="24"/>
          <w:lang w:val="zh-CN"/>
        </w:rPr>
        <w:t>www.cninfo.com.cn</w:t>
      </w:r>
      <w:r>
        <w:rPr>
          <w:rFonts w:hint="eastAsia" w:ascii="宋体" w:hAnsi="宋体" w:cs="宋体"/>
          <w:sz w:val="18"/>
          <w:szCs w:val="24"/>
          <w:lang w:val="zh-CN"/>
        </w:rPr>
        <w:t>）披露的《</w:t>
      </w:r>
      <w:r>
        <w:rPr>
          <w:rFonts w:hint="default" w:eastAsia="Times New Roman"/>
          <w:sz w:val="18"/>
          <w:szCs w:val="24"/>
          <w:lang w:val="zh-CN"/>
        </w:rPr>
        <w:t>2020</w:t>
      </w:r>
      <w:r>
        <w:rPr>
          <w:rFonts w:hint="eastAsia" w:ascii="宋体" w:hAnsi="宋体" w:cs="宋体"/>
          <w:sz w:val="18"/>
          <w:szCs w:val="24"/>
          <w:lang w:val="zh-CN"/>
        </w:rPr>
        <w:t>年度股东大会决议公告》（公告编号：</w:t>
      </w:r>
      <w:r>
        <w:rPr>
          <w:rFonts w:hint="default" w:eastAsia="Times New Roman"/>
          <w:sz w:val="18"/>
          <w:szCs w:val="24"/>
          <w:lang w:val="zh-CN"/>
        </w:rPr>
        <w:t>2021-041</w:t>
      </w:r>
      <w:r>
        <w:rPr>
          <w:rFonts w:hint="eastAsia" w:ascii="宋体" w:hAnsi="宋体" w:cs="宋体"/>
          <w:sz w:val="18"/>
          <w:szCs w:val="24"/>
          <w:lang w:val="zh-CN"/>
        </w:rPr>
        <w:t>）。</w:t>
      </w:r>
    </w:p>
    <w:p>
      <w:pPr>
        <w:tabs>
          <w:tab w:val="left" w:pos="-900"/>
        </w:tabs>
        <w:autoSpaceDE w:val="0"/>
        <w:autoSpaceDN w:val="0"/>
        <w:adjustRightInd w:val="0"/>
        <w:spacing w:beforeLines="0" w:afterLines="0"/>
        <w:ind w:firstLine="360" w:firstLineChars="200"/>
        <w:jc w:val="left"/>
        <w:rPr>
          <w:rFonts w:hint="default" w:eastAsia="Times New Roman"/>
          <w:sz w:val="18"/>
          <w:szCs w:val="24"/>
          <w:lang w:val="zh-CN"/>
        </w:rPr>
      </w:pPr>
      <w:r>
        <w:rPr>
          <w:rFonts w:hint="eastAsia" w:ascii="宋体" w:hAnsi="宋体" w:cs="宋体"/>
          <w:sz w:val="18"/>
          <w:szCs w:val="24"/>
          <w:lang w:val="zh-CN"/>
        </w:rPr>
        <w:t>公司分别于</w:t>
      </w:r>
      <w:r>
        <w:rPr>
          <w:rFonts w:hint="default" w:eastAsia="Times New Roman"/>
          <w:sz w:val="18"/>
          <w:szCs w:val="24"/>
          <w:lang w:val="zh-CN"/>
        </w:rPr>
        <w:t>2020</w:t>
      </w:r>
      <w:r>
        <w:rPr>
          <w:rFonts w:hint="eastAsia" w:ascii="宋体" w:hAnsi="宋体" w:cs="宋体"/>
          <w:sz w:val="18"/>
          <w:szCs w:val="24"/>
          <w:lang w:val="zh-CN"/>
        </w:rPr>
        <w:t>年</w:t>
      </w:r>
      <w:r>
        <w:rPr>
          <w:rFonts w:hint="default" w:eastAsia="Times New Roman"/>
          <w:sz w:val="18"/>
          <w:szCs w:val="24"/>
          <w:lang w:val="zh-CN"/>
        </w:rPr>
        <w:t>11</w:t>
      </w:r>
      <w:r>
        <w:rPr>
          <w:rFonts w:hint="eastAsia" w:ascii="宋体" w:hAnsi="宋体" w:cs="宋体"/>
          <w:sz w:val="18"/>
          <w:szCs w:val="24"/>
          <w:lang w:val="zh-CN"/>
        </w:rPr>
        <w:t>月</w:t>
      </w:r>
      <w:r>
        <w:rPr>
          <w:rFonts w:hint="default" w:eastAsia="Times New Roman"/>
          <w:sz w:val="18"/>
          <w:szCs w:val="24"/>
          <w:lang w:val="zh-CN"/>
        </w:rPr>
        <w:t>25</w:t>
      </w:r>
      <w:r>
        <w:rPr>
          <w:rFonts w:hint="eastAsia" w:ascii="宋体" w:hAnsi="宋体" w:cs="宋体"/>
          <w:sz w:val="18"/>
          <w:szCs w:val="24"/>
          <w:lang w:val="zh-CN"/>
        </w:rPr>
        <w:t>日、</w:t>
      </w:r>
      <w:r>
        <w:rPr>
          <w:rFonts w:hint="default" w:eastAsia="Times New Roman"/>
          <w:sz w:val="18"/>
          <w:szCs w:val="24"/>
          <w:lang w:val="zh-CN"/>
        </w:rPr>
        <w:t>2020</w:t>
      </w:r>
      <w:r>
        <w:rPr>
          <w:rFonts w:hint="eastAsia" w:ascii="宋体" w:hAnsi="宋体" w:cs="宋体"/>
          <w:sz w:val="18"/>
          <w:szCs w:val="24"/>
          <w:lang w:val="zh-CN"/>
        </w:rPr>
        <w:t>年</w:t>
      </w:r>
      <w:r>
        <w:rPr>
          <w:rFonts w:hint="default" w:eastAsia="Times New Roman"/>
          <w:sz w:val="18"/>
          <w:szCs w:val="24"/>
          <w:lang w:val="zh-CN"/>
        </w:rPr>
        <w:t>12</w:t>
      </w:r>
      <w:r>
        <w:rPr>
          <w:rFonts w:hint="eastAsia" w:ascii="宋体" w:hAnsi="宋体" w:cs="宋体"/>
          <w:sz w:val="18"/>
          <w:szCs w:val="24"/>
          <w:lang w:val="zh-CN"/>
        </w:rPr>
        <w:t>月</w:t>
      </w:r>
      <w:r>
        <w:rPr>
          <w:rFonts w:hint="default" w:eastAsia="Times New Roman"/>
          <w:sz w:val="18"/>
          <w:szCs w:val="24"/>
          <w:lang w:val="zh-CN"/>
        </w:rPr>
        <w:t>11</w:t>
      </w:r>
      <w:r>
        <w:rPr>
          <w:rFonts w:hint="eastAsia" w:ascii="宋体" w:hAnsi="宋体" w:cs="宋体"/>
          <w:sz w:val="18"/>
          <w:szCs w:val="24"/>
          <w:lang w:val="zh-CN"/>
        </w:rPr>
        <w:t>日召开的第三届董事会第二十次会、</w:t>
      </w:r>
      <w:r>
        <w:rPr>
          <w:rFonts w:hint="default" w:eastAsia="Times New Roman"/>
          <w:sz w:val="18"/>
          <w:szCs w:val="24"/>
          <w:lang w:val="zh-CN"/>
        </w:rPr>
        <w:t>2020</w:t>
      </w:r>
      <w:r>
        <w:rPr>
          <w:rFonts w:hint="eastAsia" w:ascii="宋体" w:hAnsi="宋体" w:cs="宋体"/>
          <w:sz w:val="18"/>
          <w:szCs w:val="24"/>
          <w:lang w:val="zh-CN"/>
        </w:rPr>
        <w:t>年第一次临时股东大会审议通过了《关于回购注销部分限制性股票的议案》。具体内容详见公司分别于</w:t>
      </w:r>
      <w:r>
        <w:rPr>
          <w:rFonts w:hint="default" w:eastAsia="Times New Roman"/>
          <w:sz w:val="18"/>
          <w:szCs w:val="24"/>
          <w:lang w:val="zh-CN"/>
        </w:rPr>
        <w:t>2020</w:t>
      </w:r>
      <w:r>
        <w:rPr>
          <w:rFonts w:hint="eastAsia" w:ascii="宋体" w:hAnsi="宋体" w:cs="宋体"/>
          <w:sz w:val="18"/>
          <w:szCs w:val="24"/>
          <w:lang w:val="zh-CN"/>
        </w:rPr>
        <w:t>年</w:t>
      </w:r>
      <w:r>
        <w:rPr>
          <w:rFonts w:hint="default" w:eastAsia="Times New Roman"/>
          <w:sz w:val="18"/>
          <w:szCs w:val="24"/>
          <w:lang w:val="zh-CN"/>
        </w:rPr>
        <w:t>11</w:t>
      </w:r>
      <w:r>
        <w:rPr>
          <w:rFonts w:hint="eastAsia" w:ascii="宋体" w:hAnsi="宋体" w:cs="宋体"/>
          <w:sz w:val="18"/>
          <w:szCs w:val="24"/>
          <w:lang w:val="zh-CN"/>
        </w:rPr>
        <w:t>月</w:t>
      </w:r>
      <w:r>
        <w:rPr>
          <w:rFonts w:hint="default" w:eastAsia="Times New Roman"/>
          <w:sz w:val="18"/>
          <w:szCs w:val="24"/>
          <w:lang w:val="zh-CN"/>
        </w:rPr>
        <w:t>26</w:t>
      </w:r>
      <w:r>
        <w:rPr>
          <w:rFonts w:hint="eastAsia" w:ascii="宋体" w:hAnsi="宋体" w:cs="宋体"/>
          <w:sz w:val="18"/>
          <w:szCs w:val="24"/>
          <w:lang w:val="zh-CN"/>
        </w:rPr>
        <w:t>日、</w:t>
      </w:r>
      <w:r>
        <w:rPr>
          <w:rFonts w:hint="default" w:eastAsia="Times New Roman"/>
          <w:sz w:val="18"/>
          <w:szCs w:val="24"/>
          <w:lang w:val="zh-CN"/>
        </w:rPr>
        <w:t>2020</w:t>
      </w:r>
      <w:r>
        <w:rPr>
          <w:rFonts w:hint="eastAsia" w:ascii="宋体" w:hAnsi="宋体" w:cs="宋体"/>
          <w:sz w:val="18"/>
          <w:szCs w:val="24"/>
          <w:lang w:val="zh-CN"/>
        </w:rPr>
        <w:t>年</w:t>
      </w:r>
      <w:r>
        <w:rPr>
          <w:rFonts w:hint="default" w:eastAsia="Times New Roman"/>
          <w:sz w:val="18"/>
          <w:szCs w:val="24"/>
          <w:lang w:val="zh-CN"/>
        </w:rPr>
        <w:t>12</w:t>
      </w:r>
      <w:r>
        <w:rPr>
          <w:rFonts w:hint="eastAsia" w:ascii="宋体" w:hAnsi="宋体" w:cs="宋体"/>
          <w:sz w:val="18"/>
          <w:szCs w:val="24"/>
          <w:lang w:val="zh-CN"/>
        </w:rPr>
        <w:t>月</w:t>
      </w:r>
      <w:r>
        <w:rPr>
          <w:rFonts w:hint="default" w:eastAsia="Times New Roman"/>
          <w:sz w:val="18"/>
          <w:szCs w:val="24"/>
          <w:lang w:val="zh-CN"/>
        </w:rPr>
        <w:t>12</w:t>
      </w:r>
      <w:r>
        <w:rPr>
          <w:rFonts w:hint="eastAsia" w:ascii="宋体" w:hAnsi="宋体" w:cs="宋体"/>
          <w:sz w:val="18"/>
          <w:szCs w:val="24"/>
          <w:lang w:val="zh-CN"/>
        </w:rPr>
        <w:t>日在《证券时报》、《中国证券报》、《证券日报》和巨潮资讯网（</w:t>
      </w:r>
      <w:r>
        <w:rPr>
          <w:rFonts w:hint="default" w:eastAsia="Times New Roman"/>
          <w:sz w:val="18"/>
          <w:szCs w:val="24"/>
          <w:lang w:val="zh-CN"/>
        </w:rPr>
        <w:t>www.cninfo.com.cn</w:t>
      </w:r>
      <w:r>
        <w:rPr>
          <w:rFonts w:hint="eastAsia" w:ascii="宋体" w:hAnsi="宋体" w:cs="宋体"/>
          <w:sz w:val="18"/>
          <w:szCs w:val="24"/>
          <w:lang w:val="zh-CN"/>
        </w:rPr>
        <w:t>）披露的《第三届董事会第二十次会议决议公告》《</w:t>
      </w:r>
      <w:r>
        <w:rPr>
          <w:rFonts w:hint="default" w:eastAsia="Times New Roman"/>
          <w:sz w:val="18"/>
          <w:szCs w:val="24"/>
          <w:lang w:val="zh-CN"/>
        </w:rPr>
        <w:t>2020</w:t>
      </w:r>
      <w:r>
        <w:rPr>
          <w:rFonts w:hint="eastAsia" w:ascii="宋体" w:hAnsi="宋体" w:cs="宋体"/>
          <w:sz w:val="18"/>
          <w:szCs w:val="24"/>
          <w:lang w:val="zh-CN"/>
        </w:rPr>
        <w:t>年第一次临时度股东大会决议的公告》（公告编号：</w:t>
      </w:r>
      <w:r>
        <w:rPr>
          <w:rFonts w:hint="default" w:eastAsia="Times New Roman"/>
          <w:sz w:val="18"/>
          <w:szCs w:val="24"/>
          <w:lang w:val="zh-CN"/>
        </w:rPr>
        <w:t>2020-090</w:t>
      </w:r>
      <w:r>
        <w:rPr>
          <w:rFonts w:hint="eastAsia" w:ascii="宋体" w:hAnsi="宋体" w:cs="宋体"/>
          <w:sz w:val="18"/>
          <w:szCs w:val="24"/>
          <w:lang w:val="zh-CN"/>
        </w:rPr>
        <w:t>、</w:t>
      </w:r>
      <w:r>
        <w:rPr>
          <w:rFonts w:hint="default" w:eastAsia="Times New Roman"/>
          <w:sz w:val="18"/>
          <w:szCs w:val="24"/>
          <w:lang w:val="zh-CN"/>
        </w:rPr>
        <w:t>2020-099</w:t>
      </w:r>
      <w:r>
        <w:rPr>
          <w:rFonts w:hint="eastAsia" w:ascii="宋体" w:hAnsi="宋体" w:cs="宋体"/>
          <w:sz w:val="18"/>
          <w:szCs w:val="24"/>
          <w:lang w:val="zh-CN"/>
        </w:rPr>
        <w:t>）。</w:t>
      </w:r>
    </w:p>
    <w:p>
      <w:pPr>
        <w:tabs>
          <w:tab w:val="left" w:pos="-900"/>
        </w:tabs>
        <w:autoSpaceDE w:val="0"/>
        <w:autoSpaceDN w:val="0"/>
        <w:adjustRightInd w:val="0"/>
        <w:spacing w:beforeLines="0" w:afterLines="0"/>
        <w:ind w:firstLine="360" w:firstLineChars="200"/>
        <w:jc w:val="left"/>
        <w:rPr>
          <w:rFonts w:hint="eastAsia" w:ascii="宋体"/>
          <w:sz w:val="18"/>
          <w:szCs w:val="24"/>
          <w:lang w:val="zh-CN"/>
        </w:rPr>
      </w:pPr>
      <w:r>
        <w:rPr>
          <w:rFonts w:hint="eastAsia" w:ascii="宋体"/>
          <w:sz w:val="18"/>
          <w:szCs w:val="24"/>
          <w:lang w:val="zh-CN"/>
        </w:rPr>
        <w:t>公司于2021年6月29日召开第四届董事会第三次会议，</w:t>
      </w:r>
      <w:r>
        <w:rPr>
          <w:rFonts w:hint="eastAsia"/>
          <w:sz w:val="18"/>
          <w:szCs w:val="24"/>
          <w:lang w:val="zh-CN"/>
        </w:rPr>
        <w:t>审议通过了《</w:t>
      </w:r>
      <w:r>
        <w:rPr>
          <w:rFonts w:hint="eastAsia" w:ascii="宋体"/>
          <w:sz w:val="18"/>
          <w:szCs w:val="24"/>
          <w:lang w:val="zh-CN"/>
        </w:rPr>
        <w:t>关于回购公司股份方案的议案》。具体内容详见公司于2021年6月30日在《证券时报》、《中国证券报》、《证券日报》和巨潮资讯网（www.cninfo.com.cn）披露的《关于第四届董事会第三次会议决议的公告》（公告编号：2021-047）。</w:t>
      </w:r>
    </w:p>
    <w:p>
      <w:pPr>
        <w:tabs>
          <w:tab w:val="left" w:pos="-900"/>
        </w:tabs>
        <w:autoSpaceDE w:val="0"/>
        <w:autoSpaceDN w:val="0"/>
        <w:adjustRightInd w:val="0"/>
        <w:spacing w:beforeLines="0" w:afterLines="0"/>
        <w:ind w:firstLine="360" w:firstLineChars="200"/>
        <w:jc w:val="left"/>
        <w:rPr>
          <w:rFonts w:hint="eastAsia" w:ascii="宋体"/>
          <w:sz w:val="18"/>
          <w:szCs w:val="24"/>
          <w:lang w:val="zh-CN"/>
        </w:rPr>
      </w:pPr>
      <w:r>
        <w:rPr>
          <w:rFonts w:hint="eastAsia" w:ascii="宋体"/>
          <w:sz w:val="18"/>
          <w:szCs w:val="24"/>
          <w:lang w:val="zh-CN"/>
        </w:rPr>
        <w:t>2021年限制性股票激励计划：</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1）2021年9月28日，公司分别召开了第四届董事会第五次会议和第四届监事会第四次会议，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对此发表了独立意见。</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2）021年9月28日至2021年10月8日，公司对2021年限制性股票激励计划授予激励对象名单进行了内部公示。公示期内，公司监事会未收到与激励计划拟激励对象有关的任何异议；公示期满，监事会对2021年限制性股票激励计划授予部分激励对象名单进行了核查并对公示情况进行了说明，于2021年10月9日公告了《监事会关于2021年限制性股票激励计划授予部分激励对象名单的审核及公示情况说明》。</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3）2021年10月14日，公司召开2021年第二次临时股东大会，审议通过了《关于&lt;公司2021年限制性股票激励计划（草案）及其摘要&gt;的议案》、《关于&lt;公司2021年限制性股票激励计划实施考核管理办法&gt;的议案》以及《关于提请股东大会授权董事会办理公司2021年限制性股票激励计划有关事项的议案》。公司独立董事向全体股东公开征集了委托投票权。</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4）2021年10月27日，公司召开第四届董事会第六次会议审议通过了《关于调整公司2021年限制性股票激励计划相关事项的议案》、《关于向激励对象授予限制性股票的议案》，董事会认为激励计划规定的授予条件已经成就，同意以2021年10月28日为授予日，向符合条件的80名激励对象授予272万股限制性股票。公司独立董事对此发表了独立意见。</w:t>
      </w:r>
    </w:p>
    <w:p>
      <w:pPr>
        <w:autoSpaceDE w:val="0"/>
        <w:autoSpaceDN w:val="0"/>
        <w:adjustRightInd w:val="0"/>
        <w:spacing w:before="0" w:beforeLines="0" w:after="0" w:afterLines="0"/>
        <w:ind w:firstLine="360" w:firstLineChars="200"/>
        <w:jc w:val="left"/>
        <w:rPr>
          <w:rFonts w:hint="eastAsia" w:ascii="宋体"/>
          <w:sz w:val="18"/>
          <w:szCs w:val="24"/>
          <w:lang w:val="zh-CN"/>
        </w:rPr>
      </w:pPr>
      <w:r>
        <w:rPr>
          <w:rFonts w:hint="eastAsia" w:ascii="宋体"/>
          <w:sz w:val="18"/>
          <w:szCs w:val="24"/>
          <w:lang w:val="zh-CN"/>
        </w:rPr>
        <w:t>（5）2021年10月27日，公司召开第四届监事会第五次会议审议通过了《关于调整公司2021年限制性股票激励计划相关事项的议案》、《关于向激励对象授予限制性股票的议案》，并出具《青岛伟隆阀门股份有限公司监事会关于公司2021年限制性股票激励计划激励对象名单（调整后）的核查意见》，监事会认为激励计划规定的授予条件已经成就，同意以2021年10月28日为授予日，向符合条件的80名激励对象授予272万股限制性股票，授予价格为5.00元/股。</w:t>
      </w:r>
    </w:p>
    <w:p>
      <w:pPr>
        <w:tabs>
          <w:tab w:val="left" w:pos="-900"/>
        </w:tabs>
        <w:autoSpaceDE w:val="0"/>
        <w:autoSpaceDN w:val="0"/>
        <w:adjustRightInd w:val="0"/>
        <w:spacing w:beforeLines="0" w:afterLines="0"/>
        <w:ind w:firstLine="360" w:firstLineChars="200"/>
        <w:jc w:val="left"/>
        <w:rPr>
          <w:rFonts w:hint="eastAsia" w:ascii="宋体"/>
          <w:sz w:val="18"/>
          <w:szCs w:val="24"/>
          <w:lang w:val="zh-CN"/>
        </w:rPr>
      </w:pPr>
      <w:r>
        <w:rPr>
          <w:rFonts w:hint="eastAsia" w:ascii="宋体"/>
          <w:sz w:val="18"/>
          <w:szCs w:val="24"/>
          <w:lang w:val="zh-CN"/>
        </w:rPr>
        <w:t>公司分别于2021年11月24日、2021年12月10日，召开了第四届董事会第七次会议、第四届监事会第六次会议及2021年第三次临时股东大会审议通过了《关于2018年限制性股票激励计划第三个解锁期解锁条件成就的议案》、《关于调整限制性股票回购价格的议案》、《关于回购注销部分限制性股票的议案》等议案。具体内容详见公司于2021年11月25日在《证券时报》、《中国证券报》、《证券日报》和巨潮资讯网（www.cninfo.com.cn）披露的《关于第四届董事会第七次会议决议的公告》《关于第四届监事会第六次会议决议的公告》《关于2021年第三次临时股东大会决议的公告》（公告编号：2021-095、2021-096、2021-112）。</w:t>
      </w:r>
    </w:p>
    <w:p>
      <w:pPr>
        <w:spacing w:beforeLines="0" w:afterLines="0"/>
        <w:jc w:val="left"/>
        <w:rPr>
          <w:rFonts w:hint="default"/>
          <w:sz w:val="18"/>
          <w:szCs w:val="24"/>
        </w:rPr>
      </w:pPr>
      <w:r>
        <w:rPr>
          <w:rFonts w:hint="eastAsia"/>
          <w:sz w:val="18"/>
          <w:szCs w:val="24"/>
        </w:rPr>
        <w:t>股份变动的过户情况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股份变动对最近一年和最近一期基本每股收益和稀释每股收益、归属于公司普通股股东的每股净资产等财务指标的影响</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ind w:firstLine="360" w:firstLineChars="200"/>
        <w:jc w:val="left"/>
        <w:rPr>
          <w:rFonts w:hint="default"/>
          <w:sz w:val="18"/>
          <w:szCs w:val="24"/>
          <w:lang w:val="zh-CN"/>
        </w:rPr>
      </w:pPr>
      <w:r>
        <w:rPr>
          <w:rFonts w:hint="eastAsia"/>
          <w:sz w:val="18"/>
          <w:szCs w:val="24"/>
        </w:rPr>
        <w:t>以公司</w:t>
      </w:r>
      <w:r>
        <w:rPr>
          <w:rFonts w:hint="default"/>
          <w:sz w:val="18"/>
          <w:szCs w:val="24"/>
        </w:rPr>
        <w:t>2021</w:t>
      </w:r>
      <w:r>
        <w:rPr>
          <w:rFonts w:hint="eastAsia"/>
          <w:sz w:val="18"/>
          <w:szCs w:val="24"/>
        </w:rPr>
        <w:t>年</w:t>
      </w:r>
      <w:r>
        <w:rPr>
          <w:rFonts w:hint="default"/>
          <w:sz w:val="18"/>
          <w:szCs w:val="24"/>
        </w:rPr>
        <w:t>9</w:t>
      </w:r>
      <w:r>
        <w:rPr>
          <w:rFonts w:hint="eastAsia"/>
          <w:sz w:val="18"/>
          <w:szCs w:val="24"/>
        </w:rPr>
        <w:t>月</w:t>
      </w:r>
      <w:r>
        <w:rPr>
          <w:rFonts w:hint="default"/>
          <w:sz w:val="18"/>
          <w:szCs w:val="24"/>
        </w:rPr>
        <w:t>30</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日的归属于母公司所有者权益和</w:t>
      </w:r>
      <w:r>
        <w:rPr>
          <w:rFonts w:hint="default"/>
          <w:sz w:val="18"/>
          <w:szCs w:val="24"/>
        </w:rPr>
        <w:t>2021</w:t>
      </w:r>
      <w:r>
        <w:rPr>
          <w:rFonts w:hint="eastAsia"/>
          <w:sz w:val="18"/>
          <w:szCs w:val="24"/>
        </w:rPr>
        <w:t>年</w:t>
      </w:r>
      <w:r>
        <w:rPr>
          <w:rFonts w:hint="default"/>
          <w:sz w:val="18"/>
          <w:szCs w:val="24"/>
        </w:rPr>
        <w:t>1-9</w:t>
      </w:r>
      <w:r>
        <w:rPr>
          <w:rFonts w:hint="eastAsia"/>
          <w:sz w:val="18"/>
          <w:szCs w:val="24"/>
        </w:rPr>
        <w:t>月、</w:t>
      </w:r>
      <w:r>
        <w:rPr>
          <w:rFonts w:hint="default"/>
          <w:sz w:val="18"/>
          <w:szCs w:val="24"/>
        </w:rPr>
        <w:t>2021</w:t>
      </w:r>
      <w:r>
        <w:rPr>
          <w:rFonts w:hint="eastAsia"/>
          <w:sz w:val="18"/>
          <w:szCs w:val="24"/>
        </w:rPr>
        <w:t>年度归属于母公司所有者的净利润为基准，股份变动后公司每股净资产及每股收益均减少。</w:t>
      </w:r>
    </w:p>
    <w:p>
      <w:pPr>
        <w:spacing w:beforeLines="0" w:afterLines="0"/>
        <w:jc w:val="left"/>
        <w:rPr>
          <w:rFonts w:hint="default"/>
          <w:sz w:val="18"/>
          <w:szCs w:val="24"/>
        </w:rPr>
      </w:pPr>
      <w:r>
        <w:rPr>
          <w:rFonts w:hint="eastAsia"/>
          <w:sz w:val="18"/>
          <w:szCs w:val="24"/>
        </w:rPr>
        <w:t>公司认为必要或证券监管机构要求披露的其他内容</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、限售股份变动情况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单位：股</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2"/>
        <w:gridCol w:w="1114"/>
        <w:gridCol w:w="1028"/>
        <w:gridCol w:w="1008"/>
        <w:gridCol w:w="1178"/>
        <w:gridCol w:w="2422"/>
        <w:gridCol w:w="1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股东名称</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期初限售股数</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本期增加限售股数</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本期解除限售股数</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期末限售股数</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限售原因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解除限售日期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52,042,425</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23,419,091</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75,461,516</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3,251,250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1,463,062</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4,714,312</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渠汇成</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70,500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111,725</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11,600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170,625</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郭成尼</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102,275</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9,280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142,495</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张会亭</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45,000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100,250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9,280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135,970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崔兴建</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29,250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29,250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高管限售股</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6</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）的《关于公司高级管理人员辞去品质总监职务的公告》。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刘克平</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86,750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99,430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王兆健</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12,000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90,837</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3,480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99,357</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①高管限售股；②</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日，公司完成权益分派，以资本公积向全体股东每</w:t>
            </w:r>
            <w:r>
              <w:rPr>
                <w:rFonts w:hint="default"/>
                <w:sz w:val="18"/>
                <w:szCs w:val="24"/>
              </w:rPr>
              <w:t>10</w:t>
            </w:r>
            <w:r>
              <w:rPr>
                <w:rFonts w:hint="eastAsia"/>
                <w:sz w:val="18"/>
                <w:szCs w:val="24"/>
              </w:rPr>
              <w:t>股转增</w:t>
            </w:r>
            <w:r>
              <w:rPr>
                <w:rFonts w:hint="default"/>
                <w:sz w:val="18"/>
                <w:szCs w:val="24"/>
              </w:rPr>
              <w:t>4.50</w:t>
            </w:r>
            <w:r>
              <w:rPr>
                <w:rFonts w:hint="eastAsia"/>
                <w:sz w:val="18"/>
                <w:szCs w:val="24"/>
              </w:rPr>
              <w:t>股，持股数量相应增加，高管限售股相应增加。③</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股，限售股份相应增加。④</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李会君</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）的《关于向激励对象授予限制性股票的公告》。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迟娜娜</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）的《关于向激励对象授予限制性股票的公告》。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高峰</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80,000</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）的《关于向激励对象授予限制性股票的公告》。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其它限售股股东</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322,000</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2,233,352</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322,000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2,233,352</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①</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日，公司通过</w:t>
            </w:r>
            <w:r>
              <w:rPr>
                <w:rFonts w:hint="default"/>
                <w:sz w:val="18"/>
                <w:szCs w:val="24"/>
              </w:rPr>
              <w:t>2021</w:t>
            </w:r>
            <w:r>
              <w:rPr>
                <w:rFonts w:hint="eastAsia"/>
                <w:sz w:val="18"/>
                <w:szCs w:val="24"/>
              </w:rPr>
              <w:t>年限制性股票激励计划，授予</w:t>
            </w:r>
            <w:r>
              <w:rPr>
                <w:rFonts w:hint="default"/>
                <w:sz w:val="18"/>
                <w:szCs w:val="24"/>
              </w:rPr>
              <w:t>80000</w:t>
            </w:r>
            <w:r>
              <w:rPr>
                <w:rFonts w:hint="eastAsia"/>
                <w:sz w:val="18"/>
                <w:szCs w:val="24"/>
              </w:rPr>
              <w:t>股，限售股份相应增加；②</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2018</w:t>
            </w:r>
            <w:r>
              <w:rPr>
                <w:rFonts w:hint="eastAsia"/>
                <w:sz w:val="18"/>
                <w:szCs w:val="24"/>
              </w:rPr>
              <w:t>年限制性股票激励计划第三个解锁期解锁条件已成就，限售股份相应减少。③</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日，将</w:t>
            </w:r>
            <w:r>
              <w:rPr>
                <w:rFonts w:hint="default"/>
                <w:sz w:val="18"/>
                <w:szCs w:val="24"/>
              </w:rPr>
              <w:t>2018</w:t>
            </w:r>
            <w:r>
              <w:rPr>
                <w:rFonts w:hint="eastAsia"/>
                <w:sz w:val="18"/>
                <w:szCs w:val="24"/>
              </w:rPr>
              <w:t>年限制性股票激励计划不符合激励条件的激励对象已获授但尚未解除限售的限制性股票进行回购注销，限售股份相应减少</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详见分别于</w:t>
            </w:r>
            <w:r>
              <w:rPr>
                <w:rFonts w:hint="default"/>
                <w:sz w:val="18"/>
                <w:szCs w:val="24"/>
              </w:rPr>
              <w:t>2021</w:t>
            </w:r>
            <w:r>
              <w:rPr>
                <w:rFonts w:hint="eastAsia"/>
                <w:sz w:val="18"/>
                <w:szCs w:val="24"/>
              </w:rPr>
              <w:t>年</w:t>
            </w:r>
            <w:r>
              <w:rPr>
                <w:rFonts w:hint="default"/>
                <w:sz w:val="18"/>
                <w:szCs w:val="24"/>
              </w:rPr>
              <w:t>5</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w:t>
            </w:r>
            <w:r>
              <w:rPr>
                <w:rFonts w:hint="default"/>
                <w:sz w:val="18"/>
                <w:szCs w:val="24"/>
              </w:rPr>
              <w:t>2021</w:t>
            </w:r>
            <w:r>
              <w:rPr>
                <w:rFonts w:hint="eastAsia"/>
                <w:sz w:val="18"/>
                <w:szCs w:val="24"/>
              </w:rPr>
              <w:t>年</w:t>
            </w:r>
            <w:r>
              <w:rPr>
                <w:rFonts w:hint="default"/>
                <w:sz w:val="18"/>
                <w:szCs w:val="24"/>
              </w:rPr>
              <w:t>11</w:t>
            </w:r>
            <w:r>
              <w:rPr>
                <w:rFonts w:hint="eastAsia"/>
                <w:sz w:val="18"/>
                <w:szCs w:val="24"/>
              </w:rPr>
              <w:t>月</w:t>
            </w:r>
            <w:r>
              <w:rPr>
                <w:rFonts w:hint="default"/>
                <w:sz w:val="18"/>
                <w:szCs w:val="24"/>
              </w:rPr>
              <w:t>24</w:t>
            </w:r>
            <w:r>
              <w:rPr>
                <w:rFonts w:hint="eastAsia"/>
                <w:sz w:val="18"/>
                <w:szCs w:val="24"/>
              </w:rPr>
              <w:t>日、</w:t>
            </w: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10</w:t>
            </w:r>
            <w:r>
              <w:rPr>
                <w:rFonts w:hint="eastAsia"/>
                <w:sz w:val="18"/>
                <w:szCs w:val="24"/>
              </w:rPr>
              <w:t>日刊登于《证券时报》、《中国证券报》、《证券日报》和巨潮资讯网（</w:t>
            </w:r>
            <w:r>
              <w:rPr>
                <w:rFonts w:hint="default"/>
                <w:sz w:val="18"/>
                <w:szCs w:val="24"/>
              </w:rPr>
              <w:t>www.cninfo.com.cn</w:t>
            </w:r>
            <w:r>
              <w:rPr>
                <w:rFonts w:hint="eastAsia"/>
                <w:sz w:val="18"/>
                <w:szCs w:val="24"/>
              </w:rPr>
              <w:t>）的《</w:t>
            </w:r>
            <w:r>
              <w:rPr>
                <w:rFonts w:hint="default"/>
                <w:sz w:val="18"/>
                <w:szCs w:val="24"/>
              </w:rPr>
              <w:t>2020</w:t>
            </w:r>
            <w:r>
              <w:rPr>
                <w:rFonts w:hint="eastAsia"/>
                <w:sz w:val="18"/>
                <w:szCs w:val="24"/>
              </w:rPr>
              <w:t>年度分红派息、转增股本实施公告》、《关于向激励对象授予限制性股票的公告》、《关于</w:t>
            </w:r>
            <w:r>
              <w:rPr>
                <w:rFonts w:hint="default"/>
                <w:sz w:val="18"/>
                <w:szCs w:val="24"/>
              </w:rPr>
              <w:t>2018</w:t>
            </w:r>
            <w:r>
              <w:rPr>
                <w:rFonts w:hint="eastAsia"/>
                <w:sz w:val="18"/>
                <w:szCs w:val="24"/>
              </w:rPr>
              <w:t>年限制性股票激励计划第三个解锁期解锁条件成就的议案》、《关于回购注销部分限制性股票的议案》。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55,836,925</w:t>
            </w:r>
          </w:p>
        </w:tc>
        <w:tc>
          <w:tcPr>
            <w:tcW w:w="10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27,847,342</w:t>
            </w:r>
          </w:p>
        </w:tc>
        <w:tc>
          <w:tcPr>
            <w:tcW w:w="100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387,210</w:t>
            </w:r>
          </w:p>
        </w:tc>
        <w:tc>
          <w:tcPr>
            <w:tcW w:w="11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83,297,057</w:t>
            </w:r>
          </w:p>
        </w:tc>
        <w:tc>
          <w:tcPr>
            <w:tcW w:w="242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6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pStyle w:val="6"/>
        <w:spacing w:beforeLines="0" w:afterLines="0"/>
        <w:outlineLvl w:val="1"/>
        <w:rPr>
          <w:rFonts w:hint="default"/>
          <w:sz w:val="24"/>
          <w:szCs w:val="24"/>
        </w:rPr>
      </w:pPr>
      <w:r>
        <w:rPr>
          <w:rFonts w:hint="eastAsia"/>
          <w:sz w:val="24"/>
          <w:szCs w:val="24"/>
        </w:rPr>
        <w:t>二、证券发行与上市情况</w:t>
      </w:r>
    </w:p>
    <w:p>
      <w:pPr>
        <w:pStyle w:val="7"/>
        <w:spacing w:beforeLines="0" w:afterLines="0"/>
        <w:outlineLvl w:val="2"/>
        <w:rPr>
          <w:rFonts w:hint="default"/>
          <w:sz w:val="21"/>
          <w:szCs w:val="24"/>
        </w:rPr>
      </w:pPr>
      <w:r>
        <w:rPr>
          <w:rFonts w:hint="default"/>
          <w:sz w:val="21"/>
          <w:szCs w:val="24"/>
        </w:rPr>
        <w:t>1</w:t>
      </w:r>
      <w:r>
        <w:rPr>
          <w:rFonts w:hint="eastAsia"/>
          <w:sz w:val="21"/>
          <w:szCs w:val="24"/>
        </w:rPr>
        <w:t>、报告期内证券发行（不含优先股）情况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、公司股份总数及股东结构的变动、公司资产和负债结构的变动情况说明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3</w:t>
      </w:r>
      <w:r>
        <w:rPr>
          <w:rFonts w:hint="eastAsia"/>
          <w:sz w:val="21"/>
          <w:szCs w:val="24"/>
        </w:rPr>
        <w:t>、现存的内部职工股情况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三、股东和实际控制人情况</w:t>
      </w:r>
    </w:p>
    <w:p>
      <w:pPr>
        <w:pStyle w:val="7"/>
        <w:spacing w:beforeLines="0" w:afterLines="0"/>
        <w:outlineLvl w:val="2"/>
        <w:rPr>
          <w:rFonts w:hint="default"/>
          <w:sz w:val="21"/>
          <w:szCs w:val="24"/>
        </w:rPr>
      </w:pPr>
      <w:r>
        <w:rPr>
          <w:rFonts w:hint="default"/>
          <w:sz w:val="21"/>
          <w:szCs w:val="24"/>
        </w:rPr>
        <w:t>1</w:t>
      </w:r>
      <w:r>
        <w:rPr>
          <w:rFonts w:hint="eastAsia"/>
          <w:sz w:val="21"/>
          <w:szCs w:val="24"/>
        </w:rPr>
        <w:t>、公司股东数量及持股情况</w:t>
      </w:r>
    </w:p>
    <w:p>
      <w:pPr>
        <w:spacing w:beforeLines="0" w:afterLines="0"/>
        <w:jc w:val="right"/>
        <w:rPr>
          <w:rFonts w:hint="default"/>
          <w:sz w:val="18"/>
          <w:szCs w:val="24"/>
        </w:rPr>
      </w:pPr>
      <w:r>
        <w:rPr>
          <w:rFonts w:hint="eastAsia"/>
          <w:sz w:val="18"/>
          <w:szCs w:val="24"/>
        </w:rPr>
        <w:t>单位：股</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1"/>
        <w:gridCol w:w="268"/>
        <w:gridCol w:w="928"/>
        <w:gridCol w:w="484"/>
        <w:gridCol w:w="788"/>
        <w:gridCol w:w="56"/>
        <w:gridCol w:w="730"/>
        <w:gridCol w:w="333"/>
        <w:gridCol w:w="456"/>
        <w:gridCol w:w="786"/>
        <w:gridCol w:w="220"/>
        <w:gridCol w:w="620"/>
        <w:gridCol w:w="443"/>
        <w:gridCol w:w="906"/>
        <w:gridCol w:w="423"/>
        <w:gridCol w:w="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报告期末普通股股东总数</w:t>
            </w:r>
          </w:p>
        </w:tc>
        <w:tc>
          <w:tcPr>
            <w:tcW w:w="1196"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7,865</w:t>
            </w:r>
          </w:p>
        </w:tc>
        <w:tc>
          <w:tcPr>
            <w:tcW w:w="132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年度报告披露日前上一月末普通股股东总数</w:t>
            </w:r>
          </w:p>
        </w:tc>
        <w:tc>
          <w:tcPr>
            <w:tcW w:w="106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9,655</w:t>
            </w:r>
          </w:p>
        </w:tc>
        <w:tc>
          <w:tcPr>
            <w:tcW w:w="146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报告期末表决权恢复的优先股股东总数（如有）（参见注</w:t>
            </w:r>
            <w:r>
              <w:rPr>
                <w:rFonts w:hint="default"/>
                <w:sz w:val="18"/>
                <w:szCs w:val="24"/>
              </w:rPr>
              <w:t>8</w:t>
            </w:r>
            <w:r>
              <w:rPr>
                <w:rFonts w:hint="eastAsia"/>
                <w:sz w:val="18"/>
                <w:szCs w:val="24"/>
              </w:rPr>
              <w:t>）</w:t>
            </w:r>
          </w:p>
        </w:tc>
        <w:tc>
          <w:tcPr>
            <w:tcW w:w="1063"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c>
          <w:tcPr>
            <w:tcW w:w="13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年度报告披露日前上一月末表决权恢复的优先股股东总数（如有）（参见注</w:t>
            </w:r>
            <w:r>
              <w:rPr>
                <w:rFonts w:hint="default"/>
                <w:sz w:val="18"/>
                <w:szCs w:val="24"/>
              </w:rPr>
              <w:t>8</w:t>
            </w:r>
            <w:r>
              <w:rPr>
                <w:rFonts w:hint="eastAsia"/>
                <w:sz w:val="18"/>
                <w:szCs w:val="24"/>
              </w:rPr>
              <w:t>）</w:t>
            </w:r>
          </w:p>
        </w:tc>
        <w:tc>
          <w:tcPr>
            <w:tcW w:w="9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1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w:t>
            </w:r>
            <w:r>
              <w:rPr>
                <w:rFonts w:hint="default"/>
                <w:sz w:val="18"/>
                <w:szCs w:val="24"/>
              </w:rPr>
              <w:t>5%</w:t>
            </w:r>
            <w:r>
              <w:rPr>
                <w:rFonts w:hint="eastAsia"/>
                <w:sz w:val="18"/>
                <w:szCs w:val="24"/>
              </w:rPr>
              <w:t>以上的股东或前</w:t>
            </w:r>
            <w:r>
              <w:rPr>
                <w:rFonts w:hint="default"/>
                <w:sz w:val="18"/>
                <w:szCs w:val="24"/>
              </w:rPr>
              <w:t>10</w:t>
            </w:r>
            <w:r>
              <w:rPr>
                <w:rFonts w:hint="eastAsia"/>
                <w:sz w:val="18"/>
                <w:szCs w:val="24"/>
              </w:rPr>
              <w:t>名股东持股情况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股东名称</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股东性质</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持股比例</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报告期末持股数量</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报告期内增减变动情况</w:t>
            </w: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持有有限售条件的股份数量</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持有无限售条件的股份数量</w:t>
            </w:r>
          </w:p>
        </w:tc>
        <w:tc>
          <w:tcPr>
            <w:tcW w:w="269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质押、标记或冻结情况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412"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86"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89"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8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84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股份状态</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57.47%</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97,235,355</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default"/>
                <w:sz w:val="18"/>
                <w:szCs w:val="24"/>
              </w:rPr>
              <w:t>-3380000</w:t>
            </w: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75,461,516</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21,773,839</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境内非国有法人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5.41%</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9,160,172</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9,160,172</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范玉隆</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3.72%</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6,285,750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4,714,312</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1,571,438</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杨学良</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1.48%</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2,506,400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2,506,400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德邦基金－益安地风</w:t>
            </w:r>
            <w:r>
              <w:rPr>
                <w:rFonts w:hint="default"/>
                <w:sz w:val="18"/>
                <w:szCs w:val="24"/>
              </w:rPr>
              <w:t>2</w:t>
            </w:r>
            <w:r>
              <w:rPr>
                <w:rFonts w:hint="eastAsia"/>
                <w:sz w:val="18"/>
                <w:szCs w:val="24"/>
              </w:rPr>
              <w:t>号私募证券投资基金－德邦基金北京益安一号单一资产管理计划</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其他</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1.41%</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2,380,000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2,380,000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中国银河证券股份有限公司</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国有法人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0.83%</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1,403,285</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1,403,285</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default"/>
                <w:sz w:val="18"/>
                <w:szCs w:val="24"/>
              </w:rPr>
              <w:t>UBS   AG</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境外法人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0.68%</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1,142,826</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1,142,826</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北京益安资本管理有限公司－益安允升私募证券投资基金</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其他</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0.61%</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1,034,300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1,034,300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周学枚</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0.44%</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740,500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740,500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井倩</w:t>
            </w:r>
          </w:p>
        </w:tc>
        <w:tc>
          <w:tcPr>
            <w:tcW w:w="1412"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境内自然人</w:t>
            </w:r>
          </w:p>
        </w:tc>
        <w:tc>
          <w:tcPr>
            <w:tcW w:w="7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0.37%</w:t>
            </w:r>
          </w:p>
        </w:tc>
        <w:tc>
          <w:tcPr>
            <w:tcW w:w="78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624,900</w:t>
            </w:r>
          </w:p>
        </w:tc>
        <w:tc>
          <w:tcPr>
            <w:tcW w:w="789"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p>
        </w:tc>
        <w:tc>
          <w:tcPr>
            <w:tcW w:w="7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0</w:t>
            </w:r>
          </w:p>
        </w:tc>
        <w:tc>
          <w:tcPr>
            <w:tcW w:w="84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624,900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战略投资者或一般法人因配售新股成为前</w:t>
            </w:r>
            <w:r>
              <w:rPr>
                <w:rFonts w:hint="default"/>
                <w:sz w:val="18"/>
                <w:szCs w:val="24"/>
              </w:rPr>
              <w:t>10</w:t>
            </w:r>
            <w:r>
              <w:rPr>
                <w:rFonts w:hint="eastAsia"/>
                <w:sz w:val="18"/>
                <w:szCs w:val="24"/>
              </w:rPr>
              <w:t>名股东的情况（如有）（参见注</w:t>
            </w:r>
            <w:r>
              <w:rPr>
                <w:rFonts w:hint="default"/>
                <w:sz w:val="18"/>
                <w:szCs w:val="24"/>
              </w:rPr>
              <w:t>3</w:t>
            </w:r>
            <w:r>
              <w:rPr>
                <w:rFonts w:hint="eastAsia"/>
                <w:sz w:val="18"/>
                <w:szCs w:val="24"/>
              </w:rPr>
              <w:t>）</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上述股东关联关系或一致行动的说明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上述股东涉及委托</w:t>
            </w:r>
            <w:r>
              <w:rPr>
                <w:rFonts w:hint="default"/>
                <w:sz w:val="18"/>
                <w:szCs w:val="24"/>
              </w:rPr>
              <w:t>/</w:t>
            </w:r>
            <w:r>
              <w:rPr>
                <w:rFonts w:hint="eastAsia"/>
                <w:sz w:val="18"/>
                <w:szCs w:val="24"/>
              </w:rPr>
              <w:t>受托表决权、放弃表决权情况的说明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w:t>
            </w:r>
            <w:r>
              <w:rPr>
                <w:rFonts w:hint="default"/>
                <w:sz w:val="18"/>
                <w:szCs w:val="24"/>
              </w:rPr>
              <w:t>10</w:t>
            </w:r>
            <w:r>
              <w:rPr>
                <w:rFonts w:hint="eastAsia"/>
                <w:sz w:val="18"/>
                <w:szCs w:val="24"/>
              </w:rPr>
              <w:t>名股东中存在回购专户的特别说明（如有）（参见注</w:t>
            </w:r>
            <w:r>
              <w:rPr>
                <w:rFonts w:hint="default"/>
                <w:sz w:val="18"/>
                <w:szCs w:val="24"/>
              </w:rPr>
              <w:t>10</w:t>
            </w:r>
            <w:r>
              <w:rPr>
                <w:rFonts w:hint="eastAsia"/>
                <w:sz w:val="18"/>
                <w:szCs w:val="24"/>
              </w:rPr>
              <w:t>）</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68" w:type="dxa"/>
            <w:gridSpan w:val="1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前</w:t>
            </w:r>
            <w:r>
              <w:rPr>
                <w:rFonts w:hint="default"/>
                <w:sz w:val="18"/>
                <w:szCs w:val="24"/>
              </w:rPr>
              <w:t>10</w:t>
            </w:r>
            <w:r>
              <w:rPr>
                <w:rFonts w:hint="eastAsia"/>
                <w:sz w:val="18"/>
                <w:szCs w:val="24"/>
              </w:rPr>
              <w:t>名无限售条件股东持股情况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股东名称</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报告期末持有无限售条件股份数量</w:t>
            </w:r>
          </w:p>
        </w:tc>
        <w:tc>
          <w:tcPr>
            <w:tcW w:w="269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股份种类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3989" w:type="dxa"/>
            <w:gridSpan w:val="8"/>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股份种类</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范庆伟</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21,773,839</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21,773,839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9,160,172</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9,160,172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杨学良</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2,506,400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2,506,400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德邦基金－益安地风</w:t>
            </w:r>
            <w:r>
              <w:rPr>
                <w:rFonts w:hint="default"/>
                <w:sz w:val="18"/>
                <w:szCs w:val="24"/>
              </w:rPr>
              <w:t>2</w:t>
            </w:r>
            <w:r>
              <w:rPr>
                <w:rFonts w:hint="eastAsia"/>
                <w:sz w:val="18"/>
                <w:szCs w:val="24"/>
              </w:rPr>
              <w:t>号私募证券投资基金－德邦基金北京益安一号单一资产管理计划</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2,380,000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范玉隆</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1,571,438</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1,571,438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中国银河证券股份有限公司</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1,403,285</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1,403,285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default"/>
                <w:sz w:val="18"/>
                <w:szCs w:val="24"/>
              </w:rPr>
              <w:t>UBS   AG</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1,142,826</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1,142,826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北京益安资本管理有限公司－益安允升私募证券投资基金</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1,034,300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周学枚</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740,500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left"/>
              <w:rPr>
                <w:rFonts w:hint="default"/>
                <w:sz w:val="18"/>
                <w:szCs w:val="24"/>
              </w:rPr>
            </w:pPr>
            <w:r>
              <w:rPr>
                <w:rFonts w:hint="eastAsia"/>
                <w:sz w:val="18"/>
                <w:szCs w:val="24"/>
              </w:rPr>
              <w:t>井倩</w:t>
            </w:r>
          </w:p>
        </w:tc>
        <w:tc>
          <w:tcPr>
            <w:tcW w:w="3989" w:type="dxa"/>
            <w:gridSpan w:val="8"/>
            <w:vMerge w:val="restar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624,900</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人民币普通股</w:t>
            </w:r>
          </w:p>
        </w:tc>
        <w:tc>
          <w:tcPr>
            <w:tcW w:w="13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w:t>
            </w:r>
            <w:r>
              <w:rPr>
                <w:rFonts w:hint="default"/>
                <w:sz w:val="18"/>
                <w:szCs w:val="24"/>
              </w:rPr>
              <w:t>10</w:t>
            </w:r>
            <w:r>
              <w:rPr>
                <w:rFonts w:hint="eastAsia"/>
                <w:sz w:val="18"/>
                <w:szCs w:val="24"/>
              </w:rPr>
              <w:t>名无限售流通股股东之间，以及前</w:t>
            </w:r>
            <w:r>
              <w:rPr>
                <w:rFonts w:hint="default"/>
                <w:sz w:val="18"/>
                <w:szCs w:val="24"/>
              </w:rPr>
              <w:t>10</w:t>
            </w:r>
            <w:r>
              <w:rPr>
                <w:rFonts w:hint="eastAsia"/>
                <w:sz w:val="18"/>
                <w:szCs w:val="24"/>
              </w:rPr>
              <w:t>名无限售流通股股东和前</w:t>
            </w:r>
            <w:r>
              <w:rPr>
                <w:rFonts w:hint="default"/>
                <w:sz w:val="18"/>
                <w:szCs w:val="24"/>
              </w:rPr>
              <w:t>10</w:t>
            </w:r>
            <w:r>
              <w:rPr>
                <w:rFonts w:hint="eastAsia"/>
                <w:sz w:val="18"/>
                <w:szCs w:val="24"/>
              </w:rPr>
              <w:t>名股东之间关联关系或一致行动的说明</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8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前</w:t>
            </w:r>
            <w:r>
              <w:rPr>
                <w:rFonts w:hint="default"/>
                <w:sz w:val="18"/>
                <w:szCs w:val="24"/>
              </w:rPr>
              <w:t>10</w:t>
            </w:r>
            <w:r>
              <w:rPr>
                <w:rFonts w:hint="eastAsia"/>
                <w:sz w:val="18"/>
                <w:szCs w:val="24"/>
              </w:rPr>
              <w:t>名普通股股东参与融资融券业务情况说明（如有）（参见注</w:t>
            </w:r>
            <w:r>
              <w:rPr>
                <w:rFonts w:hint="default"/>
                <w:sz w:val="18"/>
                <w:szCs w:val="24"/>
              </w:rPr>
              <w:t>4</w:t>
            </w:r>
            <w:r>
              <w:rPr>
                <w:rFonts w:hint="eastAsia"/>
                <w:sz w:val="18"/>
                <w:szCs w:val="24"/>
              </w:rPr>
              <w:t>）</w:t>
            </w:r>
          </w:p>
        </w:tc>
        <w:tc>
          <w:tcPr>
            <w:tcW w:w="6687" w:type="dxa"/>
            <w:gridSpan w:val="1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公司前</w:t>
      </w:r>
      <w:r>
        <w:rPr>
          <w:rFonts w:hint="default"/>
          <w:sz w:val="18"/>
          <w:szCs w:val="24"/>
        </w:rPr>
        <w:t>10</w:t>
      </w:r>
      <w:r>
        <w:rPr>
          <w:rFonts w:hint="eastAsia"/>
          <w:sz w:val="18"/>
          <w:szCs w:val="24"/>
        </w:rPr>
        <w:t>名普通股股东、前</w:t>
      </w:r>
      <w:r>
        <w:rPr>
          <w:rFonts w:hint="default"/>
          <w:sz w:val="18"/>
          <w:szCs w:val="24"/>
        </w:rPr>
        <w:t>10</w:t>
      </w:r>
      <w:r>
        <w:rPr>
          <w:rFonts w:hint="eastAsia"/>
          <w:sz w:val="18"/>
          <w:szCs w:val="24"/>
        </w:rPr>
        <w:t>名无限售条件普通股股东在报告期内是否进行约定购回交易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公司前</w:t>
      </w:r>
      <w:r>
        <w:rPr>
          <w:rFonts w:hint="default"/>
          <w:sz w:val="18"/>
          <w:szCs w:val="24"/>
        </w:rPr>
        <w:t>10</w:t>
      </w:r>
      <w:r>
        <w:rPr>
          <w:rFonts w:hint="eastAsia"/>
          <w:sz w:val="18"/>
          <w:szCs w:val="24"/>
        </w:rPr>
        <w:t>名普通股股东、前</w:t>
      </w:r>
      <w:r>
        <w:rPr>
          <w:rFonts w:hint="default"/>
          <w:sz w:val="18"/>
          <w:szCs w:val="24"/>
        </w:rPr>
        <w:t>10</w:t>
      </w:r>
      <w:r>
        <w:rPr>
          <w:rFonts w:hint="eastAsia"/>
          <w:sz w:val="18"/>
          <w:szCs w:val="24"/>
        </w:rPr>
        <w:t>名无限售条件普通股股东在报告期内未进行约定购回交易。</w:t>
      </w:r>
    </w:p>
    <w:p>
      <w:pPr>
        <w:pStyle w:val="7"/>
        <w:spacing w:beforeLines="0" w:afterLines="0"/>
        <w:outlineLvl w:val="2"/>
        <w:rPr>
          <w:rFonts w:hint="default"/>
          <w:sz w:val="21"/>
          <w:szCs w:val="24"/>
        </w:rPr>
      </w:pPr>
      <w:r>
        <w:rPr>
          <w:rFonts w:hint="default"/>
          <w:sz w:val="21"/>
          <w:szCs w:val="24"/>
        </w:rPr>
        <w:t>2</w:t>
      </w:r>
      <w:r>
        <w:rPr>
          <w:rFonts w:hint="eastAsia"/>
          <w:sz w:val="21"/>
          <w:szCs w:val="24"/>
        </w:rPr>
        <w:t>、公司控股股东情况</w:t>
      </w:r>
    </w:p>
    <w:p>
      <w:pPr>
        <w:spacing w:beforeLines="0" w:afterLines="0"/>
        <w:jc w:val="left"/>
        <w:rPr>
          <w:rFonts w:hint="default"/>
          <w:sz w:val="18"/>
          <w:szCs w:val="24"/>
        </w:rPr>
      </w:pPr>
      <w:r>
        <w:rPr>
          <w:rFonts w:hint="eastAsia"/>
          <w:sz w:val="18"/>
          <w:szCs w:val="24"/>
        </w:rPr>
        <w:t>控股股东性质：自然人控股</w:t>
      </w:r>
    </w:p>
    <w:p>
      <w:pPr>
        <w:spacing w:beforeLines="0" w:afterLines="0"/>
        <w:jc w:val="left"/>
        <w:rPr>
          <w:rFonts w:hint="default"/>
          <w:sz w:val="18"/>
          <w:szCs w:val="24"/>
        </w:rPr>
      </w:pPr>
      <w:r>
        <w:rPr>
          <w:rFonts w:hint="eastAsia"/>
          <w:sz w:val="18"/>
          <w:szCs w:val="24"/>
        </w:rPr>
        <w:t>控股股东类型：自然人</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8"/>
        <w:gridCol w:w="2168"/>
        <w:gridCol w:w="3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控股股东姓名</w:t>
            </w:r>
          </w:p>
        </w:tc>
        <w:tc>
          <w:tcPr>
            <w:tcW w:w="2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国籍</w:t>
            </w:r>
          </w:p>
        </w:tc>
        <w:tc>
          <w:tcPr>
            <w:tcW w:w="3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是否取得其他国家或地区居留权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21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w:t>
            </w:r>
          </w:p>
        </w:tc>
        <w:tc>
          <w:tcPr>
            <w:tcW w:w="3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主要职业及职务</w:t>
            </w:r>
          </w:p>
        </w:tc>
        <w:tc>
          <w:tcPr>
            <w:tcW w:w="61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范庆伟先生报告期内任公司董事长。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报告期内控股和参股的其他境内外上市公司的股权情况</w:t>
            </w:r>
          </w:p>
        </w:tc>
        <w:tc>
          <w:tcPr>
            <w:tcW w:w="6149"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控股股东报告期内变更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公司报告期控股股东未发生变更。</w:t>
      </w:r>
    </w:p>
    <w:p>
      <w:pPr>
        <w:pStyle w:val="7"/>
        <w:spacing w:beforeLines="0" w:afterLines="0"/>
        <w:outlineLvl w:val="2"/>
        <w:rPr>
          <w:rFonts w:hint="default"/>
          <w:sz w:val="21"/>
          <w:szCs w:val="24"/>
        </w:rPr>
      </w:pPr>
      <w:r>
        <w:rPr>
          <w:rFonts w:hint="default"/>
          <w:sz w:val="21"/>
          <w:szCs w:val="24"/>
        </w:rPr>
        <w:t>3</w:t>
      </w:r>
      <w:r>
        <w:rPr>
          <w:rFonts w:hint="eastAsia"/>
          <w:sz w:val="21"/>
          <w:szCs w:val="24"/>
        </w:rPr>
        <w:t>、公司实际控制人及其一致行动人</w:t>
      </w:r>
    </w:p>
    <w:p>
      <w:pPr>
        <w:spacing w:beforeLines="0" w:afterLines="0"/>
        <w:jc w:val="left"/>
        <w:rPr>
          <w:rFonts w:hint="default"/>
          <w:sz w:val="18"/>
          <w:szCs w:val="24"/>
        </w:rPr>
      </w:pPr>
      <w:r>
        <w:rPr>
          <w:rFonts w:hint="eastAsia"/>
          <w:sz w:val="18"/>
          <w:szCs w:val="24"/>
        </w:rPr>
        <w:t>实际控制人性质：境内自然人</w:t>
      </w:r>
    </w:p>
    <w:p>
      <w:pPr>
        <w:spacing w:beforeLines="0" w:afterLines="0"/>
        <w:jc w:val="left"/>
        <w:rPr>
          <w:rFonts w:hint="default"/>
          <w:sz w:val="18"/>
          <w:szCs w:val="24"/>
        </w:rPr>
      </w:pPr>
      <w:r>
        <w:rPr>
          <w:rFonts w:hint="eastAsia"/>
          <w:sz w:val="18"/>
          <w:szCs w:val="24"/>
        </w:rPr>
        <w:t>实际控制人类型：自然人</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54"/>
        <w:gridCol w:w="1650"/>
        <w:gridCol w:w="1650"/>
        <w:gridCol w:w="3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实际控制人姓名</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与实际控制人关系</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国籍</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是否取得其他国家或地区居留权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本人</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一致行动（含协议、亲属、同一控制）</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w:t>
            </w:r>
          </w:p>
        </w:tc>
        <w:tc>
          <w:tcPr>
            <w:tcW w:w="35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主要职业及职务</w:t>
            </w:r>
          </w:p>
        </w:tc>
        <w:tc>
          <w:tcPr>
            <w:tcW w:w="6813"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范庆伟先生报告期内任公司董事长。</w:t>
            </w:r>
          </w:p>
          <w:p>
            <w:pPr>
              <w:spacing w:beforeLines="0" w:afterLines="0"/>
              <w:jc w:val="left"/>
              <w:rPr>
                <w:rFonts w:hint="default"/>
                <w:sz w:val="18"/>
                <w:szCs w:val="24"/>
              </w:rPr>
            </w:pPr>
            <w:r>
              <w:rPr>
                <w:rFonts w:hint="eastAsia"/>
                <w:sz w:val="18"/>
                <w:szCs w:val="24"/>
              </w:rPr>
              <w:t>范玉隆先生报告期内任公司董事。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7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过去</w:t>
            </w:r>
            <w:r>
              <w:rPr>
                <w:rFonts w:hint="default"/>
                <w:sz w:val="18"/>
                <w:szCs w:val="24"/>
              </w:rPr>
              <w:t>10</w:t>
            </w:r>
            <w:r>
              <w:rPr>
                <w:rFonts w:hint="eastAsia"/>
                <w:sz w:val="18"/>
                <w:szCs w:val="24"/>
              </w:rPr>
              <w:t>年曾控股的境内外上市公司情况</w:t>
            </w:r>
          </w:p>
        </w:tc>
        <w:tc>
          <w:tcPr>
            <w:tcW w:w="6813" w:type="dxa"/>
            <w:gridSpan w:val="3"/>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spacing w:beforeLines="0" w:afterLines="0"/>
        <w:jc w:val="left"/>
        <w:rPr>
          <w:rFonts w:hint="default"/>
          <w:sz w:val="18"/>
          <w:szCs w:val="24"/>
        </w:rPr>
      </w:pPr>
      <w:r>
        <w:rPr>
          <w:rFonts w:hint="eastAsia"/>
          <w:sz w:val="18"/>
          <w:szCs w:val="24"/>
        </w:rPr>
        <w:t>实际控制人报告期内变更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公司报告期实际控制人未发生变更。</w:t>
      </w:r>
    </w:p>
    <w:p>
      <w:pPr>
        <w:spacing w:beforeLines="0" w:afterLines="0"/>
        <w:jc w:val="left"/>
        <w:rPr>
          <w:rFonts w:hint="default"/>
          <w:sz w:val="18"/>
          <w:szCs w:val="24"/>
        </w:rPr>
      </w:pPr>
      <w:r>
        <w:rPr>
          <w:rFonts w:hint="eastAsia"/>
          <w:sz w:val="18"/>
          <w:szCs w:val="24"/>
        </w:rPr>
        <w:t>公司与实际控制人之间的产权及控制关系的方框图</w:t>
      </w:r>
    </w:p>
    <w:p>
      <w:pPr>
        <w:autoSpaceDE w:val="0"/>
        <w:autoSpaceDN w:val="0"/>
        <w:adjustRightInd w:val="0"/>
        <w:spacing w:before="200" w:beforeLines="0" w:after="200" w:afterLines="0"/>
        <w:jc w:val="center"/>
        <w:rPr>
          <w:rFonts w:hint="default"/>
          <w:sz w:val="24"/>
          <w:szCs w:val="24"/>
        </w:rPr>
      </w:pPr>
      <w:r>
        <w:rPr>
          <w:rFonts w:hint="default"/>
          <w:sz w:val="24"/>
          <w:szCs w:val="24"/>
        </w:rPr>
        <w:drawing>
          <wp:inline distT="0" distB="0" distL="114300" distR="114300">
            <wp:extent cx="4591050" cy="20764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4591050" cy="2076450"/>
                    </a:xfrm>
                    <a:prstGeom prst="rect">
                      <a:avLst/>
                    </a:prstGeom>
                    <a:noFill/>
                    <a:ln>
                      <a:noFill/>
                    </a:ln>
                  </pic:spPr>
                </pic:pic>
              </a:graphicData>
            </a:graphic>
          </wp:inline>
        </w:drawing>
      </w:r>
    </w:p>
    <w:p>
      <w:pPr>
        <w:spacing w:beforeLines="0" w:afterLines="0"/>
        <w:jc w:val="left"/>
        <w:rPr>
          <w:rFonts w:hint="default"/>
          <w:sz w:val="18"/>
          <w:szCs w:val="24"/>
        </w:rPr>
      </w:pPr>
      <w:r>
        <w:rPr>
          <w:rFonts w:hint="eastAsia"/>
          <w:sz w:val="18"/>
          <w:szCs w:val="24"/>
        </w:rPr>
        <w:t>实际控制人通过信托或其他资产管理方式控制公司</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4</w:t>
      </w:r>
      <w:r>
        <w:rPr>
          <w:rFonts w:hint="eastAsia"/>
          <w:sz w:val="21"/>
          <w:szCs w:val="24"/>
        </w:rPr>
        <w:t>、公司控股股东或第一大股东及其一致行动人累计质押股份数量占其所持公司股份数量比例达到</w:t>
      </w:r>
      <w:r>
        <w:rPr>
          <w:rFonts w:hint="default"/>
          <w:sz w:val="21"/>
          <w:szCs w:val="24"/>
        </w:rPr>
        <w:t>80%</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5</w:t>
      </w:r>
      <w:r>
        <w:rPr>
          <w:rFonts w:hint="eastAsia"/>
          <w:sz w:val="21"/>
          <w:szCs w:val="24"/>
        </w:rPr>
        <w:t>、其他持股在</w:t>
      </w:r>
      <w:r>
        <w:rPr>
          <w:rFonts w:hint="default"/>
          <w:sz w:val="21"/>
          <w:szCs w:val="24"/>
        </w:rPr>
        <w:t>10%</w:t>
      </w:r>
      <w:r>
        <w:rPr>
          <w:rFonts w:hint="eastAsia"/>
          <w:sz w:val="21"/>
          <w:szCs w:val="24"/>
        </w:rPr>
        <w:t>以上的法人股东</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6</w:t>
      </w:r>
      <w:r>
        <w:rPr>
          <w:rFonts w:hint="eastAsia"/>
          <w:sz w:val="21"/>
          <w:szCs w:val="24"/>
        </w:rPr>
        <w:t>、控股股东、实际控制人、重组方及其他承诺主体股份限制减持情况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6"/>
        <w:spacing w:beforeLines="0" w:afterLines="0"/>
        <w:outlineLvl w:val="1"/>
        <w:rPr>
          <w:rFonts w:hint="default"/>
          <w:sz w:val="24"/>
          <w:szCs w:val="24"/>
        </w:rPr>
      </w:pPr>
      <w:r>
        <w:rPr>
          <w:rFonts w:hint="eastAsia"/>
          <w:sz w:val="24"/>
          <w:szCs w:val="24"/>
        </w:rPr>
        <w:t>四、股份回购在报告期的具体实施情况</w:t>
      </w:r>
    </w:p>
    <w:p>
      <w:pPr>
        <w:spacing w:beforeLines="0" w:afterLines="0"/>
        <w:jc w:val="left"/>
        <w:rPr>
          <w:rFonts w:hint="default"/>
          <w:sz w:val="18"/>
          <w:szCs w:val="24"/>
        </w:rPr>
      </w:pPr>
      <w:r>
        <w:rPr>
          <w:rFonts w:hint="eastAsia"/>
          <w:sz w:val="18"/>
          <w:szCs w:val="24"/>
        </w:rPr>
        <w:t>股份回购的实施进展情况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1198"/>
        <w:gridCol w:w="1195"/>
        <w:gridCol w:w="1195"/>
        <w:gridCol w:w="1195"/>
        <w:gridCol w:w="1195"/>
        <w:gridCol w:w="1195"/>
        <w:gridCol w:w="11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方案披露时间</w:t>
            </w:r>
          </w:p>
        </w:tc>
        <w:tc>
          <w:tcPr>
            <w:tcW w:w="11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拟回购股份数量</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占总股本的比例</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拟回购金额</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拟回购期间</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回购用途</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已回购数量（股）</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已回购数量占股权激励计划所涉及的标的股票的比例（如有）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06</w:t>
            </w:r>
            <w:r>
              <w:rPr>
                <w:rFonts w:hint="eastAsia"/>
                <w:sz w:val="18"/>
                <w:szCs w:val="24"/>
              </w:rPr>
              <w:t>月</w:t>
            </w:r>
            <w:r>
              <w:rPr>
                <w:rFonts w:hint="default"/>
                <w:sz w:val="18"/>
                <w:szCs w:val="24"/>
              </w:rPr>
              <w:t>29</w:t>
            </w:r>
            <w:r>
              <w:rPr>
                <w:rFonts w:hint="eastAsia"/>
                <w:sz w:val="18"/>
                <w:szCs w:val="24"/>
              </w:rPr>
              <w:t>日</w:t>
            </w:r>
          </w:p>
        </w:tc>
        <w:tc>
          <w:tcPr>
            <w:tcW w:w="11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2,060,000</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1.22%</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本次回购的资金总额不低于人民币</w:t>
            </w:r>
            <w:r>
              <w:rPr>
                <w:rFonts w:hint="default"/>
                <w:sz w:val="18"/>
                <w:szCs w:val="24"/>
              </w:rPr>
              <w:t>2,000</w:t>
            </w:r>
            <w:r>
              <w:rPr>
                <w:rFonts w:hint="eastAsia"/>
                <w:sz w:val="18"/>
                <w:szCs w:val="24"/>
              </w:rPr>
              <w:t>万元（含）且不超过人民币</w:t>
            </w:r>
            <w:r>
              <w:rPr>
                <w:rFonts w:hint="default"/>
                <w:sz w:val="18"/>
                <w:szCs w:val="24"/>
              </w:rPr>
              <w:t>3,000</w:t>
            </w:r>
            <w:r>
              <w:rPr>
                <w:rFonts w:hint="eastAsia"/>
                <w:sz w:val="18"/>
                <w:szCs w:val="24"/>
              </w:rPr>
              <w:t>万元（含）</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回购股份实施期限为自公司第四届董事会第三次会议审议通过本次回购股份方案之日起不超过</w:t>
            </w:r>
            <w:r>
              <w:rPr>
                <w:rFonts w:hint="default"/>
                <w:sz w:val="18"/>
                <w:szCs w:val="24"/>
              </w:rPr>
              <w:t>6</w:t>
            </w:r>
            <w:r>
              <w:rPr>
                <w:rFonts w:hint="eastAsia"/>
                <w:sz w:val="18"/>
                <w:szCs w:val="24"/>
              </w:rPr>
              <w:t>个月</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用于</w:t>
            </w:r>
            <w:r>
              <w:rPr>
                <w:rFonts w:hint="default"/>
                <w:sz w:val="18"/>
                <w:szCs w:val="24"/>
              </w:rPr>
              <w:t>2021</w:t>
            </w:r>
            <w:r>
              <w:rPr>
                <w:rFonts w:hint="eastAsia"/>
                <w:sz w:val="18"/>
                <w:szCs w:val="24"/>
              </w:rPr>
              <w:t>年限制性股票激励计划</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3,147,626</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bl>
    <w:p>
      <w:pPr>
        <w:spacing w:beforeLines="0" w:afterLines="0"/>
        <w:jc w:val="left"/>
        <w:rPr>
          <w:rFonts w:hint="default"/>
          <w:sz w:val="18"/>
          <w:szCs w:val="24"/>
        </w:rPr>
      </w:pPr>
      <w:r>
        <w:rPr>
          <w:rFonts w:hint="eastAsia"/>
          <w:sz w:val="18"/>
          <w:szCs w:val="24"/>
        </w:rPr>
        <w:t>采用集中竞价方式减持回购股份的实施进展情况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7" w:name="_Toc300000091"/>
      <w:r>
        <w:rPr>
          <w:rFonts w:hint="eastAsia"/>
          <w:sz w:val="32"/>
          <w:szCs w:val="24"/>
        </w:rPr>
        <w:t>第八节</w:t>
      </w:r>
      <w:r>
        <w:rPr>
          <w:rFonts w:hint="default"/>
          <w:sz w:val="32"/>
          <w:szCs w:val="24"/>
        </w:rPr>
        <w:t xml:space="preserve"> </w:t>
      </w:r>
      <w:r>
        <w:rPr>
          <w:rFonts w:hint="eastAsia"/>
          <w:sz w:val="32"/>
          <w:szCs w:val="24"/>
        </w:rPr>
        <w:t>优先股相关情况</w:t>
      </w:r>
      <w:bookmarkEnd w:id="7"/>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报告期公司不存在优先股。</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8" w:name="_Toc300000092"/>
      <w:r>
        <w:rPr>
          <w:rFonts w:hint="eastAsia"/>
          <w:sz w:val="32"/>
          <w:szCs w:val="24"/>
        </w:rPr>
        <w:t>第九节</w:t>
      </w:r>
      <w:r>
        <w:rPr>
          <w:rFonts w:hint="default"/>
          <w:sz w:val="32"/>
          <w:szCs w:val="24"/>
        </w:rPr>
        <w:t xml:space="preserve"> </w:t>
      </w:r>
      <w:r>
        <w:rPr>
          <w:rFonts w:hint="eastAsia"/>
          <w:sz w:val="32"/>
          <w:szCs w:val="24"/>
        </w:rPr>
        <w:t>债券相关情况</w:t>
      </w:r>
      <w:bookmarkEnd w:id="8"/>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sectPr>
          <w:pgSz w:w="11906" w:h="16838"/>
          <w:pgMar w:top="1440" w:right="1134" w:bottom="1440" w:left="1134" w:header="851" w:footer="992" w:gutter="0"/>
          <w:lnNumType w:countBy="0" w:distance="360"/>
          <w:cols w:space="720" w:num="1"/>
          <w:docGrid w:type="lines" w:linePitch="312" w:charSpace="0"/>
        </w:sectPr>
      </w:pPr>
    </w:p>
    <w:p>
      <w:pPr>
        <w:pStyle w:val="3"/>
        <w:spacing w:beforeLines="0" w:afterLines="0"/>
        <w:outlineLvl w:val="0"/>
        <w:rPr>
          <w:rFonts w:hint="default"/>
          <w:sz w:val="32"/>
          <w:szCs w:val="24"/>
        </w:rPr>
      </w:pPr>
      <w:bookmarkStart w:id="9" w:name="_Toc300000093"/>
      <w:r>
        <w:rPr>
          <w:rFonts w:hint="eastAsia"/>
          <w:sz w:val="32"/>
          <w:szCs w:val="24"/>
        </w:rPr>
        <w:t>第十节</w:t>
      </w:r>
      <w:r>
        <w:rPr>
          <w:rFonts w:hint="default"/>
          <w:sz w:val="32"/>
          <w:szCs w:val="24"/>
        </w:rPr>
        <w:t xml:space="preserve"> </w:t>
      </w:r>
      <w:r>
        <w:rPr>
          <w:rFonts w:hint="eastAsia"/>
          <w:sz w:val="32"/>
          <w:szCs w:val="24"/>
        </w:rPr>
        <w:t>财务报告</w:t>
      </w:r>
      <w:bookmarkEnd w:id="9"/>
    </w:p>
    <w:p>
      <w:pPr>
        <w:pStyle w:val="6"/>
        <w:spacing w:beforeLines="0" w:afterLines="0"/>
        <w:outlineLvl w:val="1"/>
        <w:rPr>
          <w:rFonts w:hint="default"/>
          <w:sz w:val="24"/>
          <w:szCs w:val="24"/>
        </w:rPr>
      </w:pPr>
      <w:r>
        <w:rPr>
          <w:rFonts w:hint="eastAsia"/>
          <w:sz w:val="24"/>
          <w:szCs w:val="24"/>
        </w:rPr>
        <w:t>一、审计报告</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3"/>
        <w:gridCol w:w="4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审计意见类型</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标准的无保留意见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审计报告签署日期</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r>
              <w:rPr>
                <w:rFonts w:hint="default"/>
                <w:sz w:val="18"/>
                <w:szCs w:val="24"/>
              </w:rPr>
              <w:t>04</w:t>
            </w:r>
            <w:r>
              <w:rPr>
                <w:rFonts w:hint="eastAsia"/>
                <w:sz w:val="18"/>
                <w:szCs w:val="24"/>
              </w:rPr>
              <w:t>月</w:t>
            </w:r>
            <w:r>
              <w:rPr>
                <w:rFonts w:hint="default"/>
                <w:sz w:val="18"/>
                <w:szCs w:val="24"/>
              </w:rPr>
              <w:t>27</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审计机构名称</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和信会计师事务所（特殊普通合伙）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审计报告文号</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和信审字（</w:t>
            </w:r>
            <w:r>
              <w:rPr>
                <w:rFonts w:hint="default"/>
                <w:sz w:val="18"/>
                <w:szCs w:val="24"/>
              </w:rPr>
              <w:t>2022</w:t>
            </w:r>
            <w:r>
              <w:rPr>
                <w:rFonts w:hint="eastAsia"/>
                <w:sz w:val="18"/>
                <w:szCs w:val="24"/>
              </w:rPr>
              <w:t>）第</w:t>
            </w:r>
            <w:r>
              <w:rPr>
                <w:rFonts w:hint="default"/>
                <w:sz w:val="18"/>
                <w:szCs w:val="24"/>
              </w:rPr>
              <w:t>000366</w:t>
            </w:r>
            <w:r>
              <w:rPr>
                <w:rFonts w:hint="eastAsia"/>
                <w:sz w:val="18"/>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注册会计师姓名</w:t>
            </w:r>
          </w:p>
        </w:tc>
        <w:tc>
          <w:tcPr>
            <w:tcW w:w="47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李胜</w:t>
            </w:r>
            <w:r>
              <w:rPr>
                <w:rFonts w:hint="default"/>
                <w:sz w:val="18"/>
                <w:szCs w:val="24"/>
              </w:rPr>
              <w:t xml:space="preserve"> </w:t>
            </w:r>
            <w:r>
              <w:rPr>
                <w:rFonts w:hint="eastAsia"/>
                <w:sz w:val="18"/>
                <w:szCs w:val="24"/>
              </w:rPr>
              <w:t>刘学伟</w:t>
            </w:r>
          </w:p>
        </w:tc>
      </w:tr>
    </w:tbl>
    <w:p>
      <w:pPr>
        <w:spacing w:beforeLines="0" w:afterLines="0"/>
        <w:jc w:val="center"/>
        <w:rPr>
          <w:rFonts w:hint="default"/>
          <w:sz w:val="18"/>
          <w:szCs w:val="24"/>
        </w:rPr>
      </w:pPr>
      <w:r>
        <w:rPr>
          <w:rFonts w:hint="eastAsia"/>
          <w:sz w:val="18"/>
          <w:szCs w:val="24"/>
        </w:rPr>
        <w:t>审计报告正文</w:t>
      </w:r>
    </w:p>
    <w:p>
      <w:pPr>
        <w:autoSpaceDE w:val="0"/>
        <w:autoSpaceDN w:val="0"/>
        <w:adjustRightInd w:val="0"/>
        <w:spacing w:before="209" w:beforeLines="0" w:after="0" w:afterLines="0"/>
        <w:rPr>
          <w:rFonts w:hint="eastAsia" w:ascii="宋体"/>
          <w:b/>
          <w:sz w:val="28"/>
          <w:szCs w:val="24"/>
          <w:lang w:val="zh-CN"/>
        </w:rPr>
      </w:pPr>
      <w:r>
        <w:rPr>
          <w:rFonts w:hint="eastAsia" w:ascii="宋体"/>
          <w:b/>
          <w:sz w:val="28"/>
          <w:szCs w:val="24"/>
          <w:lang w:val="zh-CN"/>
        </w:rPr>
        <w:t>青岛伟隆阀门股份有限公司全体股东：</w:t>
      </w:r>
    </w:p>
    <w:p>
      <w:pPr>
        <w:autoSpaceDE w:val="0"/>
        <w:autoSpaceDN w:val="0"/>
        <w:adjustRightInd w:val="0"/>
        <w:spacing w:before="209" w:beforeLines="0" w:after="0" w:afterLines="0"/>
        <w:ind w:firstLine="484"/>
        <w:rPr>
          <w:rFonts w:hint="eastAsia" w:ascii="宋体"/>
          <w:b/>
          <w:sz w:val="24"/>
          <w:szCs w:val="24"/>
          <w:lang w:val="zh-CN"/>
        </w:rPr>
      </w:pPr>
      <w:r>
        <w:rPr>
          <w:rFonts w:hint="eastAsia" w:ascii="宋体"/>
          <w:b/>
          <w:sz w:val="24"/>
          <w:szCs w:val="24"/>
          <w:lang w:val="zh-CN"/>
        </w:rPr>
        <w:t>一、审计意见</w:t>
      </w:r>
    </w:p>
    <w:p>
      <w:pPr>
        <w:autoSpaceDE w:val="0"/>
        <w:autoSpaceDN w:val="0"/>
        <w:adjustRightInd w:val="0"/>
        <w:spacing w:before="134" w:beforeLines="0" w:after="0" w:afterLines="0"/>
        <w:ind w:firstLine="484"/>
        <w:rPr>
          <w:rFonts w:hint="eastAsia" w:ascii="宋体"/>
          <w:sz w:val="24"/>
          <w:szCs w:val="24"/>
          <w:lang w:val="zh-CN"/>
        </w:rPr>
      </w:pPr>
      <w:r>
        <w:rPr>
          <w:rFonts w:hint="eastAsia" w:ascii="宋体"/>
          <w:sz w:val="24"/>
          <w:szCs w:val="24"/>
          <w:lang w:val="zh-CN"/>
        </w:rPr>
        <w:t>我们审计了青岛伟隆阀门股份有限公司（以下简称伟隆公司）财务报表，包括2021年12月31日的合并及公司资产负债表，2021年度的合并及公司利润表、合并及公司现金流量表、合并及公司股东权益变动表以及相关财务报表附注。</w:t>
      </w:r>
    </w:p>
    <w:p>
      <w:pPr>
        <w:autoSpaceDE w:val="0"/>
        <w:autoSpaceDN w:val="0"/>
        <w:adjustRightInd w:val="0"/>
        <w:spacing w:before="134" w:beforeLines="0" w:after="0" w:afterLines="0"/>
        <w:ind w:firstLine="484"/>
        <w:rPr>
          <w:rFonts w:hint="eastAsia" w:ascii="宋体"/>
          <w:sz w:val="24"/>
          <w:szCs w:val="24"/>
          <w:lang w:val="zh-CN"/>
        </w:rPr>
      </w:pPr>
      <w:r>
        <w:rPr>
          <w:rFonts w:hint="eastAsia" w:ascii="宋体"/>
          <w:sz w:val="24"/>
          <w:szCs w:val="24"/>
          <w:lang w:val="zh-CN"/>
        </w:rPr>
        <w:t>我们认为，后附的财务报表在所有重大方面按照企业会计准则的规定编制，公允反映了伟隆公司2021年12月31日的合并及公司财务状况以及2021年度的合并及公司经营成果和合并及公司现金流量。</w:t>
      </w:r>
    </w:p>
    <w:p>
      <w:pPr>
        <w:autoSpaceDE w:val="0"/>
        <w:autoSpaceDN w:val="0"/>
        <w:adjustRightInd w:val="0"/>
        <w:spacing w:before="209" w:beforeLines="0" w:after="50" w:afterLines="0"/>
        <w:ind w:firstLine="484"/>
        <w:jc w:val="left"/>
        <w:rPr>
          <w:rFonts w:hint="eastAsia" w:ascii="宋体"/>
          <w:b/>
          <w:sz w:val="24"/>
          <w:szCs w:val="24"/>
          <w:lang w:val="zh-CN"/>
        </w:rPr>
      </w:pPr>
      <w:r>
        <w:rPr>
          <w:rFonts w:hint="eastAsia" w:ascii="宋体"/>
          <w:b/>
          <w:sz w:val="24"/>
          <w:szCs w:val="24"/>
          <w:lang w:val="zh-CN"/>
        </w:rPr>
        <w:t>二、形成审计意见的基础</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按照中国注册会计师审计准则的规定执行了审计工作。审计报告的“注册会计师对财务报表审计的责任”部分进一步阐述了我们在这些准则下的责任。按照中国注册会计师职业道德守则，我们独立于伟隆公司，并履行了职业道德方面的其他责任。我们相信，我们获取的审计证据是充分、适当的，为发表审计意见提供了基础。</w:t>
      </w:r>
    </w:p>
    <w:p>
      <w:pPr>
        <w:autoSpaceDE w:val="0"/>
        <w:autoSpaceDN w:val="0"/>
        <w:adjustRightInd w:val="0"/>
        <w:spacing w:before="0" w:beforeLines="0" w:after="20" w:afterLines="0"/>
        <w:ind w:firstLine="484"/>
        <w:jc w:val="left"/>
        <w:rPr>
          <w:rFonts w:hint="eastAsia" w:ascii="宋体"/>
          <w:b/>
          <w:sz w:val="24"/>
          <w:szCs w:val="24"/>
          <w:lang w:val="zh-CN"/>
        </w:rPr>
      </w:pPr>
      <w:r>
        <w:rPr>
          <w:rFonts w:hint="eastAsia" w:ascii="宋体"/>
          <w:b/>
          <w:sz w:val="24"/>
          <w:szCs w:val="24"/>
          <w:lang w:val="zh-CN"/>
        </w:rPr>
        <w:t>三、关键审计事项</w:t>
      </w:r>
    </w:p>
    <w:p>
      <w:pPr>
        <w:autoSpaceDE w:val="0"/>
        <w:autoSpaceDN w:val="0"/>
        <w:adjustRightInd w:val="0"/>
        <w:spacing w:before="83" w:beforeLines="0" w:after="0" w:afterLines="0"/>
        <w:ind w:firstLine="482"/>
        <w:rPr>
          <w:rFonts w:hint="eastAsia" w:ascii="宋体"/>
          <w:sz w:val="24"/>
          <w:szCs w:val="24"/>
          <w:lang w:val="zh-CN"/>
        </w:rPr>
      </w:pPr>
      <w:r>
        <w:rPr>
          <w:rFonts w:hint="eastAsia" w:ascii="宋体"/>
          <w:sz w:val="24"/>
          <w:szCs w:val="24"/>
          <w:lang w:val="zh-CN"/>
        </w:rPr>
        <w:t>关键审计事项是我们根据职业判断，认为对本期财务报表审计最为重要的事项。这些事项的应对以对财务报表整体进行审计并形成审计意见为背景，我们不对这些事项单独发表意见。我们确定下列事项是需要在审计报告中沟通的关键审计事项：</w:t>
      </w:r>
    </w:p>
    <w:p>
      <w:pPr>
        <w:autoSpaceDE w:val="0"/>
        <w:autoSpaceDN w:val="0"/>
        <w:adjustRightInd w:val="0"/>
        <w:spacing w:before="83" w:beforeLines="0" w:after="0" w:afterLines="0"/>
        <w:ind w:firstLine="484"/>
        <w:rPr>
          <w:rFonts w:hint="eastAsia" w:ascii="宋体"/>
          <w:b/>
          <w:sz w:val="24"/>
          <w:szCs w:val="24"/>
          <w:lang w:val="zh-CN"/>
        </w:rPr>
      </w:pPr>
      <w:r>
        <w:rPr>
          <w:rFonts w:hint="eastAsia" w:ascii="宋体"/>
          <w:b/>
          <w:sz w:val="24"/>
          <w:szCs w:val="24"/>
          <w:lang w:val="zh-CN"/>
        </w:rPr>
        <w:t>（一）外销出口收入确认</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1、事项描述</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2021年度伟隆公司营业收入总额41,516.27万元，其中外销出口收入为31,275.26万元，占营业收入总额的75.33%，外销出口收入金额占营业收入总额的比例较高，所以外销出口收入的确认对报表产生重要影响，因此我们将外销出口收入的确认识别为关键审计事项。</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关于外销出口收入确认的会计政策见附注三、（三十三）；关于收入类别的披露见附注五、33。</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2、审计应对</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（1）了解、评价并测试管理层与外销收入确认相关的关键内部控制的设计和运行有效性；</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（2）抽样检查外销销售订单，对与外销产品收入确认有关的控制权转移时点进行分析，评价公司的外销收入确认时点是否符合企业会计准则的要求；</w:t>
      </w:r>
    </w:p>
    <w:p>
      <w:pPr>
        <w:autoSpaceDE w:val="0"/>
        <w:autoSpaceDN w:val="0"/>
        <w:adjustRightInd w:val="0"/>
        <w:spacing w:before="83" w:beforeLines="0" w:after="0" w:afterLines="0"/>
        <w:ind w:firstLine="484"/>
        <w:jc w:val="left"/>
        <w:rPr>
          <w:rFonts w:hint="eastAsia" w:ascii="宋体"/>
          <w:sz w:val="24"/>
          <w:szCs w:val="24"/>
          <w:lang w:val="zh-CN"/>
        </w:rPr>
      </w:pPr>
      <w:r>
        <w:rPr>
          <w:rFonts w:hint="eastAsia" w:ascii="宋体"/>
          <w:sz w:val="24"/>
          <w:szCs w:val="24"/>
          <w:lang w:val="zh-CN"/>
        </w:rPr>
        <w:t>（3）抽样选取部分订单、发票、报关单、提单等与收入确认相关的支持性文件与账面记录进行核对，评价外销收入确认是否与公司的会计政策一致；</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（4）执行分析性复核程序，包括分析外销主要产品年度及月度收入、主要客户的变化及销售价格、毛利率的变动，针对异常波动查明原因；</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（5）对外销出口收入执行截止测试，检查不同出口模式的支持性文件日期，确认收入是否记录在恰当的会计期间；</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（6）查询海关电子口岸信息，将其记录出口销售收入金额与账面进行核对；</w:t>
      </w:r>
    </w:p>
    <w:p>
      <w:pPr>
        <w:autoSpaceDE w:val="0"/>
        <w:autoSpaceDN w:val="0"/>
        <w:adjustRightInd w:val="0"/>
        <w:spacing w:before="83" w:beforeLines="0" w:after="0" w:afterLines="0"/>
        <w:ind w:firstLine="473"/>
        <w:jc w:val="left"/>
        <w:rPr>
          <w:rFonts w:hint="eastAsia" w:ascii="宋体"/>
          <w:sz w:val="24"/>
          <w:szCs w:val="24"/>
          <w:lang w:val="zh-CN"/>
        </w:rPr>
      </w:pPr>
      <w:r>
        <w:rPr>
          <w:rFonts w:hint="eastAsia" w:ascii="宋体"/>
          <w:sz w:val="24"/>
          <w:szCs w:val="24"/>
          <w:lang w:val="zh-CN"/>
        </w:rPr>
        <w:t>（7）抽样选择主要外销客户进行函证，询证资产负债表日的应收账款余额及2021年度销售额。</w:t>
      </w:r>
    </w:p>
    <w:p>
      <w:pPr>
        <w:autoSpaceDE w:val="0"/>
        <w:autoSpaceDN w:val="0"/>
        <w:adjustRightInd w:val="0"/>
        <w:spacing w:before="209" w:beforeLines="0" w:after="0" w:afterLines="0"/>
        <w:ind w:firstLine="484"/>
        <w:rPr>
          <w:rFonts w:hint="eastAsia" w:ascii="宋体"/>
          <w:b/>
          <w:sz w:val="24"/>
          <w:szCs w:val="24"/>
          <w:lang w:val="zh-CN"/>
        </w:rPr>
      </w:pPr>
      <w:r>
        <w:rPr>
          <w:rFonts w:hint="eastAsia" w:ascii="宋体"/>
          <w:b/>
          <w:sz w:val="24"/>
          <w:szCs w:val="24"/>
          <w:lang w:val="zh-CN"/>
        </w:rPr>
        <w:t>（二）应收账款减值</w:t>
      </w:r>
    </w:p>
    <w:p>
      <w:pPr>
        <w:autoSpaceDE w:val="0"/>
        <w:autoSpaceDN w:val="0"/>
        <w:adjustRightInd w:val="0"/>
        <w:spacing w:before="209" w:beforeLines="0" w:after="0" w:afterLines="0"/>
        <w:ind w:firstLine="484"/>
        <w:rPr>
          <w:rFonts w:hint="eastAsia" w:ascii="宋体"/>
          <w:sz w:val="24"/>
          <w:szCs w:val="24"/>
          <w:lang w:val="zh-CN"/>
        </w:rPr>
      </w:pPr>
      <w:r>
        <w:rPr>
          <w:rFonts w:hint="eastAsia" w:ascii="宋体"/>
          <w:sz w:val="24"/>
          <w:szCs w:val="24"/>
          <w:lang w:val="zh-CN"/>
        </w:rPr>
        <w:t>1、事项描述</w:t>
      </w:r>
    </w:p>
    <w:p>
      <w:pPr>
        <w:autoSpaceDE w:val="0"/>
        <w:autoSpaceDN w:val="0"/>
        <w:adjustRightInd w:val="0"/>
        <w:spacing w:before="50" w:beforeLines="0" w:after="0" w:afterLines="0"/>
        <w:ind w:firstLine="484"/>
        <w:jc w:val="left"/>
        <w:rPr>
          <w:rFonts w:hint="eastAsia" w:ascii="宋体"/>
          <w:sz w:val="24"/>
          <w:szCs w:val="24"/>
          <w:lang w:val="zh-CN"/>
        </w:rPr>
      </w:pPr>
      <w:r>
        <w:rPr>
          <w:rFonts w:hint="eastAsia" w:ascii="宋体"/>
          <w:sz w:val="24"/>
          <w:szCs w:val="24"/>
          <w:lang w:val="zh-CN"/>
        </w:rPr>
        <w:t>2021年12月31日，伟隆公司应收账款账面余额为7,911.04万元，坏账准备为725.58万元。</w:t>
      </w:r>
    </w:p>
    <w:p>
      <w:pPr>
        <w:autoSpaceDE w:val="0"/>
        <w:autoSpaceDN w:val="0"/>
        <w:adjustRightInd w:val="0"/>
        <w:spacing w:before="50" w:beforeLines="0" w:after="0" w:afterLines="0"/>
        <w:ind w:firstLine="484"/>
        <w:jc w:val="left"/>
        <w:rPr>
          <w:rFonts w:hint="eastAsia" w:ascii="宋体"/>
          <w:sz w:val="24"/>
          <w:szCs w:val="24"/>
          <w:lang w:val="zh-CN"/>
        </w:rPr>
      </w:pPr>
      <w:r>
        <w:rPr>
          <w:rFonts w:hint="eastAsia" w:ascii="宋体"/>
          <w:sz w:val="24"/>
          <w:szCs w:val="24"/>
          <w:lang w:val="zh-CN"/>
        </w:rPr>
        <w:t>由于应收账款减值涉及伟隆公司管理层（以下简称管理层）运用重大会计估计和判断，且应收账款减值对于财务报表具有重要性，因此我们将应收账款减值识别为关键审计事项。</w:t>
      </w:r>
    </w:p>
    <w:p>
      <w:pPr>
        <w:autoSpaceDE w:val="0"/>
        <w:autoSpaceDN w:val="0"/>
        <w:adjustRightInd w:val="0"/>
        <w:spacing w:before="209" w:beforeLines="0" w:after="0" w:afterLines="0"/>
        <w:ind w:firstLine="484"/>
        <w:rPr>
          <w:rFonts w:hint="eastAsia" w:ascii="宋体"/>
          <w:sz w:val="24"/>
          <w:szCs w:val="24"/>
          <w:lang w:val="zh-CN"/>
        </w:rPr>
      </w:pPr>
      <w:r>
        <w:rPr>
          <w:rFonts w:hint="eastAsia" w:ascii="宋体"/>
          <w:sz w:val="24"/>
          <w:szCs w:val="24"/>
          <w:lang w:val="zh-CN"/>
        </w:rPr>
        <w:t>2、审计应对</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（1）了解与应收账款减值相关的关键内部控制，评价这些控制的设计，确定其是否得到执行，并测试相关内部控制的执行有效性；</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（2）复核以前年度已计提坏账准备的应收账款的后续实际核销或转回情况，评价管理层过往预测的准确性；</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（3）复核管理层对应收账款进行信用风险评估的相关考虑和客观证据，评价管理层是否恰当识别各项应收账款的信用风险特征；</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4）对于以单项为基础计量预期信用损失的应收账款，获取并检查管理层对预期收取现金流量的预测，评价在预测中使用的关键假设的合理性和数据的准确性，并与获取的外部证据进行核对；对于采用组合为基础计量预期信用损失的应收账款，评价管理层按信用风险特征划分组合的合理性；评价管理层根据历史信用损失经验及前瞻性估计确定的应收账款账龄与预期信用损失率对照表的合理性；测试管理层使用数据的准确性和完整性以及对坏账准备的计算是否准确；</w:t>
      </w:r>
    </w:p>
    <w:p>
      <w:pPr>
        <w:autoSpaceDE w:val="0"/>
        <w:autoSpaceDN w:val="0"/>
        <w:adjustRightInd w:val="0"/>
        <w:spacing w:before="0" w:beforeLines="0" w:after="0" w:afterLines="0"/>
        <w:ind w:firstLine="484"/>
        <w:rPr>
          <w:rFonts w:hint="eastAsia" w:ascii="宋体"/>
          <w:sz w:val="24"/>
          <w:szCs w:val="24"/>
          <w:lang w:val="zh-CN"/>
        </w:rPr>
      </w:pPr>
      <w:r>
        <w:rPr>
          <w:rFonts w:hint="eastAsia" w:ascii="宋体"/>
          <w:sz w:val="24"/>
          <w:szCs w:val="24"/>
          <w:lang w:val="zh-CN"/>
        </w:rPr>
        <w:t>（5）选取样本对金额重大的应收账款余额实施了函证、检查期后回款等审计程序，评价应收账款坏账准备计提的合理性。</w:t>
      </w:r>
    </w:p>
    <w:p>
      <w:pPr>
        <w:autoSpaceDE w:val="0"/>
        <w:autoSpaceDN w:val="0"/>
        <w:adjustRightInd w:val="0"/>
        <w:spacing w:before="209" w:beforeLines="0" w:after="20" w:afterLines="0"/>
        <w:ind w:firstLine="484"/>
        <w:jc w:val="left"/>
        <w:rPr>
          <w:rFonts w:hint="eastAsia" w:ascii="宋体"/>
          <w:b/>
          <w:sz w:val="24"/>
          <w:szCs w:val="24"/>
          <w:lang w:val="zh-CN"/>
        </w:rPr>
      </w:pPr>
      <w:r>
        <w:rPr>
          <w:rFonts w:hint="eastAsia" w:ascii="宋体"/>
          <w:b/>
          <w:sz w:val="24"/>
          <w:szCs w:val="24"/>
          <w:lang w:val="zh-CN"/>
        </w:rPr>
        <w:t>四、其他信息</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管理层对其他信息负责。其他信息包括伟隆公司2021年年度报告中涵盖的信息，但不包括财务报表和我们的审计报告。</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我们对财务报表发表的审计意见不涵盖其他信息，我们也不对其他信息发表任何形式的鉴证结论。</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结合我们对财务报表的审计，我们的责任是阅读其他信息，在此过程中，考虑其他信息是否与财务报表或我们在审计过程中了解到的情况存在重大不一致或者似乎存在重大错报。</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基于我们已执行的工作，如果我们确定其他信息存在重大错报，我们应当报告该事实。在这方面，我们无任何事项需要报告。</w:t>
      </w:r>
    </w:p>
    <w:p>
      <w:pPr>
        <w:autoSpaceDE w:val="0"/>
        <w:autoSpaceDN w:val="0"/>
        <w:adjustRightInd w:val="0"/>
        <w:spacing w:before="209" w:beforeLines="0" w:after="50" w:afterLines="0"/>
        <w:ind w:firstLine="484"/>
        <w:jc w:val="left"/>
        <w:rPr>
          <w:rFonts w:hint="eastAsia" w:ascii="宋体"/>
          <w:b/>
          <w:sz w:val="24"/>
          <w:szCs w:val="24"/>
          <w:lang w:val="zh-CN"/>
        </w:rPr>
      </w:pPr>
      <w:r>
        <w:rPr>
          <w:rFonts w:hint="eastAsia" w:ascii="宋体"/>
          <w:b/>
          <w:sz w:val="24"/>
          <w:szCs w:val="24"/>
          <w:lang w:val="zh-CN"/>
        </w:rPr>
        <w:t>五、管理层和治理层对财务报表的责任</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管理层负责按照企业会计准则的规定编制财务报表，使其实现公允反映，并设计、执行和维护必要的内部控制，以使财务报表不存在由于舞弊或错误导致的重大错报。</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在编制财务报表时，管理层负责评估伟隆公司的持续经营能力，披露与持续经营相关的事项，并运用持续经营假设，除非管理层计划清算伟隆公司、终止运营或别无其他现实的选择。</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伟隆公司治理层（以下简称治理层）负责监督伟隆公司的财务报告过程。</w:t>
      </w:r>
    </w:p>
    <w:p>
      <w:pPr>
        <w:autoSpaceDE w:val="0"/>
        <w:autoSpaceDN w:val="0"/>
        <w:adjustRightInd w:val="0"/>
        <w:spacing w:before="0" w:beforeLines="0" w:after="50" w:afterLines="0"/>
        <w:ind w:firstLine="484"/>
        <w:jc w:val="left"/>
        <w:rPr>
          <w:rFonts w:hint="eastAsia" w:ascii="宋体"/>
          <w:b/>
          <w:sz w:val="24"/>
          <w:szCs w:val="24"/>
          <w:lang w:val="zh-CN"/>
        </w:rPr>
      </w:pPr>
      <w:r>
        <w:rPr>
          <w:rFonts w:hint="eastAsia" w:ascii="宋体"/>
          <w:b/>
          <w:sz w:val="24"/>
          <w:szCs w:val="24"/>
          <w:lang w:val="zh-CN"/>
        </w:rPr>
        <w:t>六、注册会计师对财务报表审计的责任</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在按照审计准则执行审计工作的过程中，我们运用职业判断，并保持职业怀疑。同时，我们也执行以下工作：</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（二）了解与审计相关的内部控制，以设计恰当的审计程序，但目的并非对内部控制的有效性发表意见。</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（三）评价管理层选用会计政策的恰当性和作出会计估计及相关披露的合理性。</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四）对管理层使用持续经营假设的恰当性得出结论。同时，根据获取的审计证据，就可能导致对伟隆公司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伟隆公司不能持续经营。</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（五）评价财务报表的总体列报、结构和内容，并评价财务报表是否公允反映相关交易和事项。</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（六）就伟隆公司中实体或业务活动的财务信息获取充分、适当的审计证据，以对财务报表发表审计意见。我们负责指导、监督和执行集团审计，并对审计意见承担全部责任。</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我们与治理层就计划的审计范围、时间安排和重大审计发现等事项进行沟通，包括沟通我们在审计中识别出的值得关注的内部控制缺陷。</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我们还就已遵守与独立性相关的职业道德要求向治理层提供声明，并与治理层沟通可能被合理认为影响我们独立性的所有关系和其他事项，以及相关的防范措施。</w:t>
      </w:r>
    </w:p>
    <w:p>
      <w:pPr>
        <w:autoSpaceDE w:val="0"/>
        <w:autoSpaceDN w:val="0"/>
        <w:adjustRightInd w:val="0"/>
        <w:spacing w:before="83" w:beforeLines="0" w:after="0" w:afterLines="0"/>
        <w:ind w:firstLine="484"/>
        <w:rPr>
          <w:rFonts w:hint="eastAsia" w:ascii="宋体"/>
          <w:sz w:val="24"/>
          <w:szCs w:val="24"/>
          <w:lang w:val="zh-CN"/>
        </w:rPr>
      </w:pPr>
      <w:r>
        <w:rPr>
          <w:rFonts w:hint="eastAsia" w:ascii="宋体"/>
          <w:sz w:val="24"/>
          <w:szCs w:val="24"/>
          <w:lang w:val="zh-CN"/>
        </w:rPr>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pPr>
        <w:pStyle w:val="6"/>
        <w:spacing w:beforeLines="0" w:afterLines="0"/>
        <w:outlineLvl w:val="1"/>
        <w:rPr>
          <w:rFonts w:hint="default"/>
          <w:sz w:val="24"/>
          <w:szCs w:val="24"/>
        </w:rPr>
      </w:pPr>
      <w:r>
        <w:rPr>
          <w:rFonts w:hint="eastAsia"/>
          <w:sz w:val="24"/>
          <w:szCs w:val="24"/>
        </w:rPr>
        <w:t>二、财务报表</w:t>
      </w:r>
    </w:p>
    <w:p>
      <w:pPr>
        <w:spacing w:beforeLines="0" w:afterLines="0"/>
        <w:jc w:val="left"/>
        <w:rPr>
          <w:rFonts w:hint="default"/>
          <w:sz w:val="18"/>
          <w:szCs w:val="24"/>
        </w:rPr>
      </w:pPr>
      <w:r>
        <w:rPr>
          <w:rFonts w:hint="eastAsia"/>
          <w:sz w:val="18"/>
          <w:szCs w:val="24"/>
        </w:rPr>
        <w:t>财务附注中报表的单位为：元</w:t>
      </w:r>
    </w:p>
    <w:p>
      <w:pPr>
        <w:pStyle w:val="7"/>
        <w:spacing w:beforeLines="0" w:afterLines="0"/>
        <w:outlineLvl w:val="2"/>
        <w:rPr>
          <w:rFonts w:hint="default"/>
          <w:sz w:val="21"/>
          <w:szCs w:val="24"/>
        </w:rPr>
      </w:pPr>
      <w:r>
        <w:rPr>
          <w:rFonts w:hint="default"/>
          <w:sz w:val="21"/>
          <w:szCs w:val="24"/>
        </w:rPr>
        <w:t>1</w:t>
      </w:r>
      <w:r>
        <w:rPr>
          <w:rFonts w:hint="eastAsia"/>
          <w:sz w:val="21"/>
          <w:szCs w:val="24"/>
        </w:rPr>
        <w:t>、合并资产负债表</w:t>
      </w:r>
    </w:p>
    <w:p>
      <w:pPr>
        <w:spacing w:beforeLines="0" w:afterLines="0"/>
        <w:jc w:val="left"/>
        <w:rPr>
          <w:rFonts w:hint="default"/>
          <w:sz w:val="18"/>
          <w:szCs w:val="24"/>
        </w:rPr>
      </w:pPr>
      <w:r>
        <w:rPr>
          <w:rFonts w:hint="eastAsia"/>
          <w:sz w:val="18"/>
          <w:szCs w:val="24"/>
        </w:rPr>
        <w:t>编制单位：青岛伟隆阀门股份有限公司</w:t>
      </w:r>
    </w:p>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货币资金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96,516,652.97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57,715,316.04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结算备付金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拆出资金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334,004,283.96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71,854,562.96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50,843,941.41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应收款项融资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888,430.46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预付款项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3,615,789.53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2,086,400.62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应收保费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应收分保账款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应收分保合同准备金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6,012,212.39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4,492,285.68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其中：应收利息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买入返售金融资产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112,522,186.11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74,218,386.35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88,531,081.57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31,777,341.61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579,243,516.20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556,026,386.13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发放贷款和垫款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长期股权投资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投资性房地产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5,578,661.78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6,287,492.43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250,212,871.99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245,669,062.62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在建工程</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生产性生物资产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油气资产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使用权资产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无形资产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34,515,647.77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35,431,909.73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开发支出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商誉</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长期待摊费用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1,212,383.99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285,962.60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14,220,282.37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11,471,352.37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310,637,024.16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313,638,536.64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889,880,540.36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869,664,922.77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短期借款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49,586,141.87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向中央银行借款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拆入资金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38,786,483.35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34,798,500.08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57,589,689.24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50,130,832.30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预收款项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16,522,851.95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21,659,525.49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卖出回购金融资产款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吸收存款及同业存放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代理买卖证券款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代理承销证券款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21,462,310.06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21,145,013.77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应交税费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4,962,868.65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911,908.09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34,116,462.22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12,243,854.80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其中：应付利息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应付手续费及佣金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应付分保账款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391,593.99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915,607.91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229,332,259.46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191,422,984.31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保险合同准备金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应付债券</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租赁负债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预计负债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11,242,874.68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11,203,763.20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3,326,801.66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3,805,442.72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14,569,676.34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15,009,205.92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243,901,935.80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206,432,190.23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股本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资本公积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181,594,520.64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减：库存股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专项储备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盈余公积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一般风险准备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未分配利润</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254,565,955.29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归属于母公司所有者权益合计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少数股东权益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负债和所有者权益总计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889,880,540.36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869,664,922.77</w:t>
            </w:r>
          </w:p>
        </w:tc>
      </w:tr>
    </w:tbl>
    <w:p>
      <w:pPr>
        <w:spacing w:before="300" w:beforeLines="0" w:afterLines="0"/>
        <w:rPr>
          <w:rFonts w:hint="default"/>
          <w:sz w:val="18"/>
          <w:szCs w:val="24"/>
        </w:rPr>
      </w:pPr>
      <w:r>
        <w:rPr>
          <w:rFonts w:hint="eastAsia"/>
          <w:sz w:val="18"/>
          <w:szCs w:val="24"/>
        </w:rPr>
        <w:t>法定代表人：范庆伟</w:t>
      </w:r>
      <w:r>
        <w:rPr>
          <w:rFonts w:hint="default"/>
          <w:sz w:val="18"/>
          <w:szCs w:val="24"/>
        </w:rPr>
        <w:t xml:space="preserve">                     </w:t>
      </w:r>
      <w:r>
        <w:rPr>
          <w:rFonts w:hint="eastAsia"/>
          <w:sz w:val="18"/>
          <w:szCs w:val="24"/>
        </w:rPr>
        <w:t>主管会计工作负责人：迟娜娜</w:t>
      </w:r>
      <w:r>
        <w:rPr>
          <w:rFonts w:hint="default"/>
          <w:sz w:val="18"/>
          <w:szCs w:val="24"/>
        </w:rPr>
        <w:t xml:space="preserve">                     </w:t>
      </w:r>
      <w:r>
        <w:rPr>
          <w:rFonts w:hint="eastAsia"/>
          <w:sz w:val="18"/>
          <w:szCs w:val="24"/>
        </w:rPr>
        <w:t>会计机构负责人：王涛</w:t>
      </w:r>
    </w:p>
    <w:p>
      <w:pPr>
        <w:pStyle w:val="7"/>
        <w:spacing w:beforeLines="0" w:afterLines="0"/>
        <w:outlineLvl w:val="2"/>
        <w:rPr>
          <w:rFonts w:hint="default"/>
          <w:sz w:val="21"/>
          <w:szCs w:val="24"/>
        </w:rPr>
      </w:pPr>
      <w:r>
        <w:rPr>
          <w:rFonts w:hint="default"/>
          <w:sz w:val="21"/>
          <w:szCs w:val="24"/>
        </w:rPr>
        <w:t>2</w:t>
      </w:r>
      <w:r>
        <w:rPr>
          <w:rFonts w:hint="eastAsia"/>
          <w:sz w:val="21"/>
          <w:szCs w:val="24"/>
        </w:rPr>
        <w:t>、母公司资产负债表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货币资金</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80,940,458.50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46,185,224.78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326,928,799.03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64,064,837.38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38,709,715.31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应收款项融资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11,550,000.00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788,430.46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预付款项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100,243,210.24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76,367,197.16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19,760,830.43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23,008,321.95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其中：应收利息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应收股利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53,048,934.32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30,781,520.20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81,130,425.52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31,011,872.54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599,344,727.06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573,781,081.43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其他债权投资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长期应收款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长期股权投资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其他权益工具投资</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其他非流动金融资产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投资性房地产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22,622,415.40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23,123,079.12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在建工程</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3,438,543.53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30,973.45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生产性生物资产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油气资产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使用权资产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无形资产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623,386.08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646,929.88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开发支出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商誉</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长期待摊费用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2,290,899.59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2,478,628.48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其他非流动资产</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271,337,970.85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268,323,872.18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870,682,697.91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842,104,953.61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短期借款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49,586,141.87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交易性金融负债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衍生金融负债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应付票据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38,786,483.35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34,798,500.08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应付账款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34,404,416.59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25,707,352.41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预收款项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合同负债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16,281,610.35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17,917,180.70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9,180,636.07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9,592,074.99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应交税费</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3,661,870.25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373,286.33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31,948,076.53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8,738,883.86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其中：应付利息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应付股利</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持有待售负债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360,232.58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733,416.52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190,123,325.72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147,478,436.76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长期借款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应付债券</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租赁负债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长期应付款</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长期应付职工薪酬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预计负债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3,123,605.06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2,745,923.90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3,326,801.66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3,802,104.45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其他非流动负债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6,450,406.72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6,548,028.35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196,573,732.44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154,026,465.11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股本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其他权益工具</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其中：优先股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永续债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资本公积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179,252,645.34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减：库存股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专项储备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盈余公积</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未分配利润</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285,094,946.78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所有者权益合计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674,108,965.47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负债和所有者权益总计</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870,682,697.91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842,104,953.61</w:t>
            </w:r>
          </w:p>
        </w:tc>
      </w:tr>
    </w:tbl>
    <w:p>
      <w:pPr>
        <w:pStyle w:val="7"/>
        <w:spacing w:beforeLines="0" w:afterLines="0"/>
        <w:outlineLvl w:val="2"/>
        <w:rPr>
          <w:rFonts w:hint="default"/>
          <w:sz w:val="21"/>
          <w:szCs w:val="24"/>
        </w:rPr>
      </w:pPr>
      <w:r>
        <w:rPr>
          <w:rFonts w:hint="default"/>
          <w:sz w:val="21"/>
          <w:szCs w:val="24"/>
        </w:rPr>
        <w:t>3</w:t>
      </w:r>
      <w:r>
        <w:rPr>
          <w:rFonts w:hint="eastAsia"/>
          <w:sz w:val="21"/>
          <w:szCs w:val="24"/>
        </w:rPr>
        <w:t>、合并利润表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80"/>
        <w:gridCol w:w="3210"/>
        <w:gridCol w:w="3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一、营业总收入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其中：营业收入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已赚保费</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手续费及佣金收入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二、营业总成本</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360,149,672.82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297,341,595.81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其中：营业成本</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279,863,882.60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225,618,597.01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手续费及佣金支出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退保金</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赔付支出净额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提取保险责任合同准备金净额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保单红利支出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分保费用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税金及附加</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3,857,106.19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4,617,470.53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27,883,206.07</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20,821,013.58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管理费用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21,801,211.38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23,257,512.43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研发费用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24,196,054.32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21,237,919.68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财务费用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2,548,212.26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1,789,082.58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其中：利息费用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1,021,052.77</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275,540.94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557,207.33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加：其他收益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3,151,472.34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4,170,698.89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15,915,730.99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9,186,397.81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其中：对联营企业和合营企业的投资收益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以摊余成本计量的金融资产终止确认收益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汇兑收益（损失以“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净敞口套期收益（损失以“－”号填列）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公允价值变动收益（损失以“－”号填列）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-3,366,653.30</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4,601,612.87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信用减值损失（损失以“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-2,418,143.88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589,631.58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资产减值损失（损失以“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-2,339,868.91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-376,117.28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资产处置收益（损失以“</w:t>
            </w:r>
            <w:r>
              <w:rPr>
                <w:rFonts w:hint="default"/>
                <w:sz w:val="18"/>
                <w:szCs w:val="24"/>
              </w:rPr>
              <w:t>-</w:t>
            </w:r>
            <w:r>
              <w:rPr>
                <w:rFonts w:hint="eastAsia"/>
                <w:sz w:val="18"/>
                <w:szCs w:val="24"/>
              </w:rPr>
              <w:t>”号填列）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144,039.41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269,314.21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三、营业利润（亏损以“－”号填列）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66,099,647.53</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65,689,966.90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加：营业外收入</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1,548,589.44</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1,534,176.71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减：营业外支出</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112,503.86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1,373,529.02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四、利润总额（亏损总额以“－”号填列）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67,535,733.11</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65,850,614.59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减：所得税费用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6,542,244.32</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7,882,521.59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（一）按经营持续性分类</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持续经营净利润（净亏损以“－”号填列）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终止经营净利润（净亏损以“－”号填列）</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（二）按所有权归属分类</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归属于母公司股东的净利润</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少数股东损益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归属母公司所有者的其他综合收益的税后净额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（一）不能重分类进损益的其他综合收益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重新计量设定受益计划变动额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权益法下不能转损益的其他综合收益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其他权益工具投资公允价值变动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企业自身信用风险公允价值变动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其他</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（二）将重分类进损益的其他综合收益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权益法下可转损益的其他综合收益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其他债权投资公允价值变动</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金融资产重分类计入其他综合收益的金额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其他债权投资信用减值准备</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现金流量套期储备</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6.</w:t>
            </w:r>
            <w:r>
              <w:rPr>
                <w:rFonts w:hint="eastAsia"/>
                <w:sz w:val="18"/>
                <w:szCs w:val="24"/>
              </w:rPr>
              <w:t>外币财务报表折算差额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7.</w:t>
            </w:r>
            <w:r>
              <w:rPr>
                <w:rFonts w:hint="eastAsia"/>
                <w:sz w:val="18"/>
                <w:szCs w:val="24"/>
              </w:rPr>
              <w:t>其他</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归属于少数股东的其他综合收益的税后净额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七、综合收益总额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归属于母公司所有者的综合收益总额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归属于少数股东的综合收益总额</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八、每股收益：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（一）基本每股收益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（二）稀释每股收益</w:t>
            </w:r>
          </w:p>
        </w:tc>
        <w:tc>
          <w:tcPr>
            <w:tcW w:w="32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0.36</w:t>
            </w:r>
          </w:p>
        </w:tc>
        <w:tc>
          <w:tcPr>
            <w:tcW w:w="32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0.34</w:t>
            </w:r>
          </w:p>
        </w:tc>
      </w:tr>
    </w:tbl>
    <w:p>
      <w:pPr>
        <w:spacing w:beforeLines="0" w:afterLines="0"/>
        <w:jc w:val="left"/>
        <w:rPr>
          <w:rFonts w:hint="default"/>
          <w:sz w:val="18"/>
          <w:szCs w:val="24"/>
        </w:rPr>
      </w:pPr>
      <w:r>
        <w:rPr>
          <w:rFonts w:hint="eastAsia"/>
          <w:sz w:val="18"/>
          <w:szCs w:val="24"/>
        </w:rPr>
        <w:t>本期发生同一控制下企业合并的，被合并方在合并前实现的净利润为：元，上期被合并方实现的净利润为：元。</w:t>
      </w:r>
    </w:p>
    <w:p>
      <w:pPr>
        <w:spacing w:before="300" w:beforeLines="0" w:afterLines="0"/>
        <w:rPr>
          <w:rFonts w:hint="default"/>
          <w:sz w:val="18"/>
          <w:szCs w:val="24"/>
        </w:rPr>
      </w:pPr>
      <w:r>
        <w:rPr>
          <w:rFonts w:hint="eastAsia"/>
          <w:sz w:val="18"/>
          <w:szCs w:val="24"/>
        </w:rPr>
        <w:t>法定代表人：范庆伟</w:t>
      </w:r>
      <w:r>
        <w:rPr>
          <w:rFonts w:hint="default"/>
          <w:sz w:val="18"/>
          <w:szCs w:val="24"/>
        </w:rPr>
        <w:t xml:space="preserve">                     </w:t>
      </w:r>
      <w:r>
        <w:rPr>
          <w:rFonts w:hint="eastAsia"/>
          <w:sz w:val="18"/>
          <w:szCs w:val="24"/>
        </w:rPr>
        <w:t>主管会计工作负责人：迟娜娜</w:t>
      </w:r>
      <w:r>
        <w:rPr>
          <w:rFonts w:hint="default"/>
          <w:sz w:val="18"/>
          <w:szCs w:val="24"/>
        </w:rPr>
        <w:t xml:space="preserve">                     </w:t>
      </w:r>
      <w:r>
        <w:rPr>
          <w:rFonts w:hint="eastAsia"/>
          <w:sz w:val="18"/>
          <w:szCs w:val="24"/>
        </w:rPr>
        <w:t>会计机构负责人：王涛</w:t>
      </w:r>
    </w:p>
    <w:p>
      <w:pPr>
        <w:pStyle w:val="7"/>
        <w:spacing w:beforeLines="0" w:afterLines="0"/>
        <w:outlineLvl w:val="2"/>
        <w:rPr>
          <w:rFonts w:hint="default"/>
          <w:sz w:val="21"/>
          <w:szCs w:val="24"/>
        </w:rPr>
      </w:pPr>
      <w:r>
        <w:rPr>
          <w:rFonts w:hint="default"/>
          <w:sz w:val="21"/>
          <w:szCs w:val="24"/>
        </w:rPr>
        <w:t>4</w:t>
      </w:r>
      <w:r>
        <w:rPr>
          <w:rFonts w:hint="eastAsia"/>
          <w:sz w:val="21"/>
          <w:szCs w:val="24"/>
        </w:rPr>
        <w:t>、母公司利润表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7"/>
        <w:gridCol w:w="3300"/>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一、营业收入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374,136,456.46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319,333,547.59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减：营业成本</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255,163,228.65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208,137,049.65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税金及附加</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1,904,025.71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2,824,317.17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28,196,995.86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20,852,115.60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管理费用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10,636,180.37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12,490,995.22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研发费用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14,379,675.16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16,964,914.56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财务费用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2,511,396.37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1,656,105.49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其中：利息费用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1,021,052.77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利息收入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226,184.57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510,126.74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加：其他收益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1,450,368.83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2,343,773.28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15,450,319.40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9,120,080.00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其中：对联营企业和合营企业的投资收益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以摊余成本计量的金融资产终止确认收益（损失以“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净敞口套期收益（损失以“－”号填列）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公允价值变动收益（损失以“－”号填列）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-3,291,168.37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4,526,127.94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信用减值损失（损失以“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-1,068,135.62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3,844,756.79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资产减值损失（损失以“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-743,325.22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-235,906.39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资产处置收益（损失以“</w:t>
            </w:r>
            <w:r>
              <w:rPr>
                <w:rFonts w:hint="default"/>
                <w:sz w:val="18"/>
                <w:szCs w:val="24"/>
              </w:rPr>
              <w:t>-</w:t>
            </w:r>
            <w:r>
              <w:rPr>
                <w:rFonts w:hint="eastAsia"/>
                <w:sz w:val="18"/>
                <w:szCs w:val="24"/>
              </w:rPr>
              <w:t>”号填列）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35,875.95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272,654.79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二、营业利润（亏损以“－”号填列）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73,178,889.31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76,279,536.31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加：营业外收入</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618,746.96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96,334.94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减：营业外支出</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46,177.66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669,436.26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三、利润总额（亏损总额以“－”号填列）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73,751,458.61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75,706,434.99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减：所得税费用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9,433,343.98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10,033,660.11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（一）持续经营净利润（净亏损以“－”号填列）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（二）终止经营净利润（净亏损以“－”号填列）</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五、其他综合收益的税后净额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（一）不能重分类进损益的其他综合收益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重新计量设定受益计划变动额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权益法下不能转损益的其他综合收益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其他权益工具投资公允价值变动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企业自身信用风险公允价值变动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其他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（二）将重分类进损益的其他综合收益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权益法下可转损益的其他综合收益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其他债权投资公允价值变动</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金融资产重分类计入其他综合收益的金额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其他债权投资信用减值准备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现金流量套期储备</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6.</w:t>
            </w:r>
            <w:r>
              <w:rPr>
                <w:rFonts w:hint="eastAsia"/>
                <w:sz w:val="18"/>
                <w:szCs w:val="24"/>
              </w:rPr>
              <w:t>外币财务报表折算差额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7.</w:t>
            </w:r>
            <w:r>
              <w:rPr>
                <w:rFonts w:hint="eastAsia"/>
                <w:sz w:val="18"/>
                <w:szCs w:val="24"/>
              </w:rPr>
              <w:t>其他</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六、综合收益总额</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七、每股收益：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（一）基本每股收益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（二）稀释每股收益</w:t>
            </w:r>
          </w:p>
        </w:tc>
        <w:tc>
          <w:tcPr>
            <w:tcW w:w="330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7"/>
        <w:spacing w:beforeLines="0" w:afterLines="0"/>
        <w:outlineLvl w:val="2"/>
        <w:rPr>
          <w:rFonts w:hint="default"/>
          <w:sz w:val="21"/>
          <w:szCs w:val="24"/>
        </w:rPr>
      </w:pPr>
      <w:r>
        <w:rPr>
          <w:rFonts w:hint="default"/>
          <w:sz w:val="21"/>
          <w:szCs w:val="24"/>
        </w:rPr>
        <w:t>5</w:t>
      </w:r>
      <w:r>
        <w:rPr>
          <w:rFonts w:hint="eastAsia"/>
          <w:sz w:val="21"/>
          <w:szCs w:val="24"/>
        </w:rPr>
        <w:t>、合并现金流量表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6"/>
        <w:gridCol w:w="3301"/>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一、经营活动产生的现金流量：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销售商品、提供劳务收到的现金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387,470,720.37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376,065,005.12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客户存款和同业存放款项净增加额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向中央银行借款净增加额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向其他金融机构拆入资金净增加额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收到原保险合同保费取得的现金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收到再保业务现金净额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保户储金及投资款净增加额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收取利息、手续费及佣金的现金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拆入资金净增加额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回购业务资金净增加额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代理买卖证券收到的现金净额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收到的税费返还</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24,194,897.56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19,474,193.97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9,329,530.76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8,536,941.70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420,995,148.69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404,076,140.79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购买商品、接受劳务支付的现金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301,805,573.58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215,337,141.62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客户贷款及垫款净增加额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存放中央银行和同业款项净增加额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支付原保险合同赔付款项的现金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拆出资金净增加额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支付利息、手续费及佣金的现金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支付保单红利的现金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支付给职工以及为职工支付的现金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64,314,248.55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49,762,207.42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支付的各项税费</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11,901,262.76</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16,559,216.32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31,586,734.29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32,471,445.68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409,607,819.18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314,130,011.04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11,387,329.51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89,946,129.75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二、投资活动产生的现金流量：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收回投资收到的现金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445,874,500.62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730,000,000.00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取得投资收益收到的现金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15,560,540.03</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9,149,797.81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处置固定资产、无形资产和其他长期资产收回的现金净额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1,085,316.80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458,913.35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处置子公司及其他营业单位收到的现金净额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472,520,357.45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739,608,711.16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购建固定资产、无形资产和其他长期资产支付的现金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19,577,653.08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23,632,618.50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质押贷款净增加额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取得子公司及其他营业单位支付的现金净额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379,577,653.08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837,632,618.50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92,942,704.37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-98,023,907.34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三、筹资活动产生的现金流量：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其中：子公司吸收少数股东投资收到的现金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取得借款收到的现金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87,100,000.00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偿还债务支付的现金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66,859,209.49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分配股利、利润或偿付利息支付的现金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53,309,375.00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52,921,723.40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其中：子公司支付给少数股东的股利、利润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30,850,226.80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53,292,583.40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-2,101,564.30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四、汇率变动对现金及现金等价物的影响</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-677,066.42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-786,467.28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五、现金及现金等价物净增加额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39,734,156.17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-10,965,809.17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加：期初现金及现金等价物余额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52,223,221.72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六、期末现金及现金等价物余额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80,991,568.72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r>
    </w:tbl>
    <w:p>
      <w:pPr>
        <w:pStyle w:val="7"/>
        <w:spacing w:beforeLines="0" w:afterLines="0"/>
        <w:outlineLvl w:val="2"/>
        <w:rPr>
          <w:rFonts w:hint="default"/>
          <w:sz w:val="21"/>
          <w:szCs w:val="24"/>
        </w:rPr>
      </w:pPr>
      <w:r>
        <w:rPr>
          <w:rFonts w:hint="default"/>
          <w:sz w:val="21"/>
          <w:szCs w:val="24"/>
        </w:rPr>
        <w:t>6</w:t>
      </w:r>
      <w:r>
        <w:rPr>
          <w:rFonts w:hint="eastAsia"/>
          <w:sz w:val="21"/>
          <w:szCs w:val="24"/>
        </w:rPr>
        <w:t>、母公司现金流量表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66"/>
        <w:gridCol w:w="3301"/>
        <w:gridCol w:w="3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一、经营活动产生的现金流量：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销售商品、提供劳务收到的现金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340,999,432.30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355,961,615.56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收到的税费返还</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23,381,427.98</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18,483,609.54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12,117,957.14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11,992,985.22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376,498,817.42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386,438,210.32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购买商品、接受劳务支付的现金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311,161,344.31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253,899,431.43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支付给职工以及为职工支付的现金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33,227,008.07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30,038,964.62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支付的各项税费</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8,352,652.37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13,648,164.83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支付其他与经营活动有关的现金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29,945,558.87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23,249,966.75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382,686,563.62</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320,836,527.63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经营活动产生的现金流量净额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-6,187,746.20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65,601,682.69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二、投资活动产生的现金流量：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收回投资收到的现金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463,244,000.00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723,000,000.00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取得投资收益收到的现金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15,282,669.05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9,083,480.00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处置固定资产、无形资产和其他长期资产收回的现金净额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157,656.80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2,885,382.73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处置子公司及其他营业单位收到的现金净额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488,684,325.85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734,968,862.73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购建固定资产、无形资产和其他长期资产支付的现金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6,438,596.84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3,382,108.77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353,318,465.00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805,500,000.00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取得子公司及其他营业单位支付的现金净额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支付其他与投资活动有关的现金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359,757,061.84</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808,882,108.77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投资活动产生的现金流量净额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128,927,264.01</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-73,913,246.04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三、筹资活动产生的现金流量：</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吸收投资收到的现金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取得借款收到的现金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49,000,000.00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收到其他与筹资活动有关的现金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筹资活动现金流入小计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62,600,000.00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51,191,019.10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偿还债务支付的现金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66,859,209.49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分配股利、利润或偿付利息支付的现金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53,309,375.00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52,921,723.40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支付其他与筹资活动有关的现金</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30,850,226.80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筹资活动现金流出小计</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53,292,583.40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筹资活动产生的现金流量净额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-88,418,811.29</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-2,101,564.30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四、汇率变动对现金及现金等价物的影响</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-625,543.97</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-757,264.02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五、现金及现金等价物净增加额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33,695,162.55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-11,170,391.67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加：期初现金及现金等价物余额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31,720,211.70</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42,890,603.37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六、期末现金及现金等价物余额</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65,415,374.25</w:t>
            </w:r>
          </w:p>
        </w:tc>
        <w:tc>
          <w:tcPr>
            <w:tcW w:w="330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31,720,211.70</w:t>
            </w:r>
          </w:p>
        </w:tc>
      </w:tr>
    </w:tbl>
    <w:p>
      <w:pPr>
        <w:pStyle w:val="7"/>
        <w:spacing w:beforeLines="0" w:afterLines="0"/>
        <w:outlineLvl w:val="2"/>
        <w:rPr>
          <w:rFonts w:hint="default"/>
          <w:sz w:val="21"/>
          <w:szCs w:val="24"/>
        </w:rPr>
      </w:pPr>
      <w:r>
        <w:rPr>
          <w:rFonts w:hint="default"/>
          <w:sz w:val="21"/>
          <w:szCs w:val="24"/>
        </w:rPr>
        <w:t>7</w:t>
      </w:r>
      <w:r>
        <w:rPr>
          <w:rFonts w:hint="eastAsia"/>
          <w:sz w:val="21"/>
          <w:szCs w:val="24"/>
        </w:rPr>
        <w:t>、合并所有者权益变动表</w:t>
      </w:r>
    </w:p>
    <w:p>
      <w:pPr>
        <w:spacing w:beforeLines="0" w:afterLines="0"/>
        <w:jc w:val="left"/>
        <w:rPr>
          <w:rFonts w:hint="default"/>
          <w:sz w:val="18"/>
          <w:szCs w:val="24"/>
        </w:rPr>
      </w:pPr>
      <w:r>
        <w:rPr>
          <w:rFonts w:hint="eastAsia"/>
          <w:sz w:val="18"/>
          <w:szCs w:val="24"/>
        </w:rPr>
        <w:t>本期金额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3"/>
        <w:gridCol w:w="493"/>
        <w:gridCol w:w="466"/>
        <w:gridCol w:w="467"/>
        <w:gridCol w:w="468"/>
        <w:gridCol w:w="583"/>
        <w:gridCol w:w="584"/>
        <w:gridCol w:w="584"/>
        <w:gridCol w:w="584"/>
        <w:gridCol w:w="583"/>
        <w:gridCol w:w="584"/>
        <w:gridCol w:w="584"/>
        <w:gridCol w:w="584"/>
        <w:gridCol w:w="584"/>
        <w:gridCol w:w="584"/>
        <w:gridCol w:w="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8310" w:type="dxa"/>
            <w:gridSpan w:val="1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148"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归属于母公司所有者权益</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少数股东权益</w:t>
            </w:r>
          </w:p>
        </w:tc>
        <w:tc>
          <w:tcPr>
            <w:tcW w:w="57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9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4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58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58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一般风险准备</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5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9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同一控制下企业合并</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52,352,648.00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-64,306,249.81</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2,067,377.33</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-17,254,127.98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-17,254,127.98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61,033,509.68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-11,800,249.81</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-697,024.80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9,764,056.00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4,075,679.85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-16,399,850.00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-16,399,850.00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-58,926,111.46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．提取一般风险准备</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．对所有者（或股东）的分配</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4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4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181,594,520.64</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254,565,955.29</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645,978,604.56</w:t>
            </w:r>
          </w:p>
        </w:tc>
        <w:tc>
          <w:tcPr>
            <w:tcW w:w="5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645,978,604.56</w:t>
            </w:r>
          </w:p>
        </w:tc>
      </w:tr>
    </w:tbl>
    <w:p>
      <w:pPr>
        <w:spacing w:beforeLines="0" w:afterLines="0"/>
        <w:jc w:val="left"/>
        <w:rPr>
          <w:rFonts w:hint="default"/>
          <w:sz w:val="18"/>
          <w:szCs w:val="24"/>
        </w:rPr>
      </w:pPr>
      <w:r>
        <w:rPr>
          <w:rFonts w:hint="eastAsia"/>
          <w:sz w:val="18"/>
          <w:szCs w:val="24"/>
        </w:rPr>
        <w:t>上期金额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490"/>
        <w:gridCol w:w="449"/>
        <w:gridCol w:w="449"/>
        <w:gridCol w:w="491"/>
        <w:gridCol w:w="576"/>
        <w:gridCol w:w="577"/>
        <w:gridCol w:w="577"/>
        <w:gridCol w:w="577"/>
        <w:gridCol w:w="576"/>
        <w:gridCol w:w="577"/>
        <w:gridCol w:w="589"/>
        <w:gridCol w:w="567"/>
        <w:gridCol w:w="567"/>
        <w:gridCol w:w="643"/>
        <w:gridCol w:w="6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8356" w:type="dxa"/>
            <w:gridSpan w:val="1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062" w:type="dxa"/>
            <w:gridSpan w:val="1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归属于母公司所有者权益</w:t>
            </w:r>
          </w:p>
        </w:tc>
        <w:tc>
          <w:tcPr>
            <w:tcW w:w="64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少数股东权益</w:t>
            </w:r>
          </w:p>
        </w:tc>
        <w:tc>
          <w:tcPr>
            <w:tcW w:w="65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3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5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57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57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一般风险准备</w:t>
            </w:r>
          </w:p>
        </w:tc>
        <w:tc>
          <w:tcPr>
            <w:tcW w:w="5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5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5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6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5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7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8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5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4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5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242,773,294.11</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-101,780.59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同一控制下企业合并</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242,773,294.11</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-101,780.59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651,310,430.22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-1,105,184.49</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11,922,302.32</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11,922,302.32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118,514.98</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58,086,607.98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-328,860.00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3,456,336.34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-59,073,277.49</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．提取一般风险准备</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．对所有者（或股东）的分配</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4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4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245,900,770.45</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c>
          <w:tcPr>
            <w:tcW w:w="64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663,232,732.54</w:t>
            </w:r>
          </w:p>
        </w:tc>
      </w:tr>
    </w:tbl>
    <w:p>
      <w:pPr>
        <w:pStyle w:val="7"/>
        <w:spacing w:beforeLines="0" w:afterLines="0"/>
        <w:outlineLvl w:val="2"/>
        <w:rPr>
          <w:rFonts w:hint="default"/>
          <w:sz w:val="21"/>
          <w:szCs w:val="24"/>
        </w:rPr>
      </w:pPr>
      <w:r>
        <w:rPr>
          <w:rFonts w:hint="default"/>
          <w:sz w:val="21"/>
          <w:szCs w:val="24"/>
        </w:rPr>
        <w:t>8</w:t>
      </w:r>
      <w:r>
        <w:rPr>
          <w:rFonts w:hint="eastAsia"/>
          <w:sz w:val="21"/>
          <w:szCs w:val="24"/>
        </w:rPr>
        <w:t>、母公司所有者权益变动表</w:t>
      </w:r>
    </w:p>
    <w:p>
      <w:pPr>
        <w:spacing w:beforeLines="0" w:afterLines="0"/>
        <w:jc w:val="left"/>
        <w:rPr>
          <w:rFonts w:hint="default"/>
          <w:sz w:val="18"/>
          <w:szCs w:val="24"/>
        </w:rPr>
      </w:pPr>
      <w:r>
        <w:rPr>
          <w:rFonts w:hint="eastAsia"/>
          <w:sz w:val="18"/>
          <w:szCs w:val="24"/>
        </w:rPr>
        <w:t>本期金额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6"/>
        <w:gridCol w:w="628"/>
        <w:gridCol w:w="604"/>
        <w:gridCol w:w="604"/>
        <w:gridCol w:w="605"/>
        <w:gridCol w:w="726"/>
        <w:gridCol w:w="727"/>
        <w:gridCol w:w="726"/>
        <w:gridCol w:w="727"/>
        <w:gridCol w:w="726"/>
        <w:gridCol w:w="615"/>
        <w:gridCol w:w="710"/>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8261"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62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81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7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72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6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7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8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6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1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8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52,352,648.00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-64,306,249.81</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5,392,003.17</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-13,969,523.03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-11,800,249.81</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13,839,735.85</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-25,793,337.66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-697,024.80</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-850,376.80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9,764,056.00</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-8,543,110.86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4,075,679.85</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-12,324,170.15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-58,926,111.46</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．对所有者（或股东）的分配</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0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6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169,032,648.00</w:t>
            </w: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0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179,252,645.34</w:t>
            </w: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17,675,679.85</w:t>
            </w: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c>
          <w:tcPr>
            <w:tcW w:w="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285,094,946.78</w:t>
            </w:r>
          </w:p>
        </w:tc>
        <w:tc>
          <w:tcPr>
            <w:tcW w:w="7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674,108,965.47</w:t>
            </w:r>
          </w:p>
        </w:tc>
      </w:tr>
    </w:tbl>
    <w:p>
      <w:pPr>
        <w:spacing w:beforeLines="0" w:afterLines="0"/>
        <w:jc w:val="left"/>
        <w:rPr>
          <w:rFonts w:hint="default"/>
          <w:sz w:val="18"/>
          <w:szCs w:val="24"/>
        </w:rPr>
      </w:pPr>
      <w:r>
        <w:rPr>
          <w:rFonts w:hint="eastAsia"/>
          <w:sz w:val="18"/>
          <w:szCs w:val="24"/>
        </w:rPr>
        <w:t>上期金额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31"/>
        <w:gridCol w:w="594"/>
        <w:gridCol w:w="572"/>
        <w:gridCol w:w="572"/>
        <w:gridCol w:w="572"/>
        <w:gridCol w:w="685"/>
        <w:gridCol w:w="686"/>
        <w:gridCol w:w="685"/>
        <w:gridCol w:w="781"/>
        <w:gridCol w:w="665"/>
        <w:gridCol w:w="798"/>
        <w:gridCol w:w="797"/>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8337"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2020</w:t>
            </w:r>
            <w:r>
              <w:rPr>
                <w:rFonts w:hint="eastAsia"/>
                <w:sz w:val="18"/>
                <w:szCs w:val="24"/>
              </w:rPr>
              <w:t>年年度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股本</w:t>
            </w:r>
          </w:p>
        </w:tc>
        <w:tc>
          <w:tcPr>
            <w:tcW w:w="171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其他权益工具</w:t>
            </w:r>
          </w:p>
        </w:tc>
        <w:tc>
          <w:tcPr>
            <w:tcW w:w="6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资本公积</w:t>
            </w:r>
          </w:p>
        </w:tc>
        <w:tc>
          <w:tcPr>
            <w:tcW w:w="68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减：库存股</w:t>
            </w:r>
          </w:p>
        </w:tc>
        <w:tc>
          <w:tcPr>
            <w:tcW w:w="6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w:t>
            </w:r>
          </w:p>
        </w:tc>
        <w:tc>
          <w:tcPr>
            <w:tcW w:w="78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专项储备</w:t>
            </w:r>
          </w:p>
        </w:tc>
        <w:tc>
          <w:tcPr>
            <w:tcW w:w="6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盈余公积</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未分配利润</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9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所有者权益合计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优先股</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永续债</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6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8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8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8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6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9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一、上年期末余额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240,431,418.81</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273,103,446.22</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加：会计政策变更</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前期差错更正</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二、本年期初余额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240,431,418.81</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7,092,162.00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45,405,316.25</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273,103,446.22</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668,570,019.28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三、本期增减变动金额（减少以“－”号填列）</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6,599,497.39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19,508,469.22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（一）综合收益总额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（二）所有者投入和减少资本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3,127,476.34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6,341,694.34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．所有者投入的普通股</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-328,860.00</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．其他权益工具持有者投入资本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．股份支付计入所有者权益的金额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3,456,336.34</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-3,256,218.00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6,712,554.34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（三）利润分配</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-59,073,277.49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．提取盈余公积</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．对所有者（或股东）的分配</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（四）所有者权益内部结转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．资本公积转增资本（或股本）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．盈余公积转增资本（或股本）</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．盈余公积弥补亏损</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．设定受益计划变动额结转留存收益</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．其他综合收益结转留存收益</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6</w:t>
            </w:r>
            <w:r>
              <w:rPr>
                <w:rFonts w:hint="eastAsia"/>
                <w:sz w:val="18"/>
                <w:szCs w:val="24"/>
              </w:rPr>
              <w:t>．其他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（五）专项储备</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．本期提取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．本期使用</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（六）其他</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3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四、本期期末余额</w:t>
            </w:r>
          </w:p>
        </w:tc>
        <w:tc>
          <w:tcPr>
            <w:tcW w:w="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116,680,000.00</w:t>
            </w: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57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243,558,895.15</w:t>
            </w:r>
          </w:p>
        </w:tc>
        <w:tc>
          <w:tcPr>
            <w:tcW w:w="6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6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6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279,702,943.61</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688,078,488.50</w:t>
            </w:r>
          </w:p>
        </w:tc>
      </w:tr>
    </w:tbl>
    <w:p>
      <w:pPr>
        <w:pStyle w:val="6"/>
        <w:spacing w:beforeLines="0" w:afterLines="0"/>
        <w:outlineLvl w:val="1"/>
        <w:rPr>
          <w:rFonts w:hint="default"/>
          <w:sz w:val="24"/>
          <w:szCs w:val="24"/>
        </w:rPr>
      </w:pPr>
      <w:r>
        <w:rPr>
          <w:rFonts w:hint="eastAsia"/>
          <w:sz w:val="24"/>
          <w:szCs w:val="24"/>
        </w:rPr>
        <w:t>三、公司基本情况</w:t>
      </w:r>
    </w:p>
    <w:p>
      <w:pPr>
        <w:autoSpaceDE w:val="0"/>
        <w:autoSpaceDN w:val="0"/>
        <w:adjustRightInd w:val="0"/>
        <w:spacing w:before="150" w:beforeLines="0" w:after="0" w:afterLines="0"/>
        <w:ind w:firstLine="436"/>
        <w:rPr>
          <w:rFonts w:hint="eastAsia" w:ascii="宋体"/>
          <w:b/>
          <w:sz w:val="21"/>
          <w:szCs w:val="24"/>
          <w:lang w:val="zh-CN"/>
        </w:rPr>
      </w:pPr>
      <w:r>
        <w:rPr>
          <w:rFonts w:hint="eastAsia" w:ascii="宋体"/>
          <w:b/>
          <w:sz w:val="21"/>
          <w:szCs w:val="24"/>
          <w:lang w:val="zh-CN"/>
        </w:rPr>
        <w:t>（一）公司概况</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青岛伟隆阀门股份有限公司（以下简称“本公司”或“公司”）系于2012年3月31日由青岛伟隆阀门有限公司整体变更设立的股份有限公司。</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2012年3月31日，青岛伟隆阀门有限公司整体变更为青岛伟隆阀门股份有限公司，按照经山东汇德会计师事务所有限公司审计的青岛伟隆阀门有限公司截止2011年12月31日的净资产折为股本5,100.00万股（每股面值为人民币1.00元），剩余金额计入资本公积。变更后注册资本为5,100.00万元,其中范庆伟出资4,437.00万元，占注册资本的87.00%，范玉隆出资255.00万元，占注册资本的5.00%,青岛惠隆投资管理有限公司出资408.00万元，占注册资本的8.00%。</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2017年4月，经中国证券监督管理委员会以证监许可[2017]526号文《关于核准青岛伟隆阀门股份有限公司首次公开发行股票的批复》的核准，公司向社会公开发行人民币普通股1,700.00万股，公司注册资本变更为6,800.00万元。2017年5月在深圳证券交易所挂牌上市，上市后公司股本总额为人民币6,800.00万元。2017年6月30日，公司完成了工商变更，注册资本变更为6,800.00万元。</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2018年5月，依据公司2017年度股东大会决议通过的《关于2017年度利润分配预案的议案》，按每10股转增7股的比例，以资本公积向全体股东转增股份,增加股本4,760.00万元，变更后的注册资本人民币11,560.00万元。2018年7月4日，公司完成了工商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2018年11月，公司于第三届董事会第七次会议审议通过《关于调整公司2018年限制性股票激励计划相关事项的议案》、《关于向2018年限制性股票激励计划激励对象授予限制性股票的议案》，确定以2018年11月20日为授予日，向39名激励对象授予114.20万股限制性股票（每股面值人民币1元）。公司增加注册资本人民币1,142,000.00元，变更后的注册资本为人民币116,742,000.00元。2018年12月21日，公司完成了工商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2019年12月13日召开2019年第一次临时股东大会，会议审议通过了《关于回购注销部分限制性股票的议案》、《关于变更公司注册资本与修改&lt;公司章程&gt;的议案》。由于公司1名原激励对象因个人原因离职，该人员已不符合激励条件，公司决定对该对象所持已获授但尚未解除限售的20,000.00股限制性股票进行回购注销。减少股本人民币20,000.00元，变更后的股本为人民币116,722,000.00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2020年12月11日召开2020年第一次临时股东大会，会议审议通过了《关于回购注销部分限制性股票的议案》、《关于变更公司注册资本与修改&lt;公司章程&gt;的议案》。由于公司2名原激励对象因个人原因离职，公司决定对该对象所持已获授但尚未解除限售的42,000.00股限制性股票进行回购注销。减少股本人民币42,000.00元，变更后的股本为人民币116,680,000.00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2021年5月19日召开的2020年度股东大会审议通过了《关于2020年度利润分配及资本公积金转增股本预案的议案》：以2020年12月31日公司总股本116,680,000.00股为基数，向全体股东每10股派息4.50元（含税）,共派发现金红利52,494,300.00元，同时以资本公积向全体股东每10股转增4.50股，共计转增52,506,000.00股，2021年10月25日，公司完成了工商变更，变更后的注册资本人民币169,186,000.00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lt;公司章程&gt;的议案》，由于人员离职及不满足解锁条件回购注销153,352.00股，变更后的注册资本为人民币169,032,648.00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公司住所为青岛即墨市蓝村镇兴和路45号，公司法定代表人为范庆伟。</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公司经营范围：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 xml:space="preserve">制造销售消防阀门、消防栓、消防设备配件（不含国家限制品种）、阀门及其配件、管件、机械配件，批发、零售工艺品、服装鞋帽、五金、化工产品（不含危险化学品）、普通机械、建筑材料、计算机及其配件，货物进出口、技术进出口；海洋水质与生态环境监测仪器设备销售；海洋环境监测与探测装备销售；导航、测绘、气象及海洋专用仪器销售；海洋环境服务；海洋工程关键配套系统开发；海洋工程装备销售；制造、销售汽车农机零部件；制造、销售机床床身及零部件；制造销售密封件、橡胶制品。（法律、行政法规禁止的项目除外；法律、行政法规限制的项目取得许可后方可经营。（依法须经批准的项目，经相关部门批准后方可开展经营活动）。          </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公司主营业务：阀门及其配件、汽车配件铸件、管件的生产、销售及相关业务。</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公司所属行业：制造行业。</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本公司实际控制人为范庆伟家族，持有本公司65.18%的股权。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本财务报表由公司董事会决议批准于2022年4月27日报出。</w:t>
      </w:r>
    </w:p>
    <w:p>
      <w:pPr>
        <w:autoSpaceDE w:val="0"/>
        <w:autoSpaceDN w:val="0"/>
        <w:adjustRightInd w:val="0"/>
        <w:spacing w:before="150" w:beforeLines="0" w:after="0" w:afterLines="0"/>
        <w:ind w:firstLine="436"/>
        <w:rPr>
          <w:rFonts w:hint="eastAsia" w:ascii="宋体"/>
          <w:b/>
          <w:sz w:val="21"/>
          <w:szCs w:val="24"/>
          <w:lang w:val="zh-CN"/>
        </w:rPr>
      </w:pPr>
      <w:r>
        <w:rPr>
          <w:rFonts w:hint="eastAsia" w:ascii="宋体"/>
          <w:b/>
          <w:sz w:val="21"/>
          <w:szCs w:val="24"/>
          <w:lang w:val="zh-CN"/>
        </w:rPr>
        <w:t>（二）合并报表范围</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截止2021年12月31日，公司合并财务报表范围内子公司如下：</w:t>
      </w:r>
    </w:p>
    <w:tbl>
      <w:tblPr>
        <w:tblStyle w:val="4"/>
        <w:tblW w:w="0" w:type="auto"/>
        <w:tblInd w:w="10" w:type="dxa"/>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Layout w:type="fixed"/>
        <w:tblCellMar>
          <w:top w:w="10" w:type="dxa"/>
          <w:left w:w="10" w:type="dxa"/>
          <w:bottom w:w="10" w:type="dxa"/>
          <w:right w:w="10" w:type="dxa"/>
        </w:tblCellMar>
      </w:tblPr>
      <w:tblGrid>
        <w:gridCol w:w="4544"/>
        <w:gridCol w:w="4544"/>
      </w:tblGrid>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公司名称</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子公司类型</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莱州伟隆阀门有限公司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青岛伟隆流体设备有限公司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Weflo Valve Company Limited（英国公司）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WEFLO VALVE LLC（美国公司）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青岛即聚机电有限责任公司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青岛卓信检测技术有限责任公司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偉隆（香港）實業有限公司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青岛伟隆五金机械有限公司</w:t>
            </w:r>
          </w:p>
        </w:tc>
        <w:tc>
          <w:tcPr>
            <w:tcW w:w="4544"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全资子公司</w:t>
            </w:r>
          </w:p>
        </w:tc>
      </w:tr>
    </w:tbl>
    <w:p>
      <w:pPr>
        <w:autoSpaceDE w:val="0"/>
        <w:autoSpaceDN w:val="0"/>
        <w:adjustRightInd w:val="0"/>
        <w:spacing w:before="150" w:beforeLines="0" w:after="0" w:afterLines="0"/>
        <w:ind w:firstLine="436"/>
        <w:rPr>
          <w:rFonts w:hint="eastAsia" w:ascii="宋体"/>
          <w:b/>
          <w:sz w:val="21"/>
          <w:szCs w:val="24"/>
          <w:lang w:val="zh-CN"/>
        </w:rPr>
      </w:pPr>
      <w:r>
        <w:rPr>
          <w:rFonts w:hint="eastAsia" w:ascii="宋体"/>
          <w:b/>
          <w:sz w:val="21"/>
          <w:szCs w:val="24"/>
          <w:lang w:val="zh-CN"/>
        </w:rPr>
        <w:t>（三）本期合并财务报表范围发生变更的情况</w:t>
      </w:r>
    </w:p>
    <w:p>
      <w:pPr>
        <w:autoSpaceDE w:val="0"/>
        <w:autoSpaceDN w:val="0"/>
        <w:adjustRightInd w:val="0"/>
        <w:spacing w:before="0" w:beforeLines="0" w:after="0" w:afterLines="0"/>
        <w:rPr>
          <w:rFonts w:hint="eastAsia" w:ascii="宋体"/>
          <w:b/>
          <w:sz w:val="21"/>
          <w:szCs w:val="24"/>
          <w:lang w:val="zh-CN"/>
        </w:rPr>
      </w:pPr>
      <w:r>
        <w:rPr>
          <w:rFonts w:hint="eastAsia" w:ascii="宋体"/>
          <w:b/>
          <w:sz w:val="21"/>
          <w:szCs w:val="24"/>
          <w:lang w:val="zh-CN"/>
        </w:rPr>
        <w:t xml:space="preserve">     无</w:t>
      </w:r>
    </w:p>
    <w:p>
      <w:pPr>
        <w:pStyle w:val="6"/>
        <w:spacing w:beforeLines="0" w:afterLines="0"/>
        <w:outlineLvl w:val="1"/>
        <w:rPr>
          <w:rFonts w:hint="default"/>
          <w:sz w:val="24"/>
          <w:szCs w:val="24"/>
        </w:rPr>
      </w:pPr>
      <w:r>
        <w:rPr>
          <w:rFonts w:hint="eastAsia"/>
          <w:sz w:val="24"/>
          <w:szCs w:val="24"/>
        </w:rPr>
        <w:t>四、财务报表的编制基础</w:t>
      </w:r>
    </w:p>
    <w:p>
      <w:pPr>
        <w:pStyle w:val="7"/>
        <w:spacing w:beforeLines="0" w:afterLines="0"/>
        <w:outlineLvl w:val="2"/>
        <w:rPr>
          <w:rFonts w:hint="default"/>
          <w:sz w:val="21"/>
          <w:szCs w:val="24"/>
        </w:rPr>
      </w:pPr>
      <w:r>
        <w:rPr>
          <w:rFonts w:hint="default"/>
          <w:sz w:val="21"/>
          <w:szCs w:val="24"/>
        </w:rPr>
        <w:t>1</w:t>
      </w:r>
      <w:r>
        <w:rPr>
          <w:rFonts w:hint="eastAsia"/>
          <w:sz w:val="21"/>
          <w:szCs w:val="24"/>
        </w:rPr>
        <w:t>、编制基础</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本公司财务报表以持续经营为基础，根据实际发生的交易和事项，按照财政部颁布的《企业会计准则》及相关规定以及中国证券监督管理委员会《公开发行证券的公司信息披露编报规则第15号</w:t>
      </w:r>
      <w:r>
        <w:rPr>
          <w:rFonts w:hint="default"/>
          <w:sz w:val="21"/>
          <w:szCs w:val="24"/>
          <w:lang w:val="zh-CN"/>
        </w:rPr>
        <w:t>——</w:t>
      </w:r>
      <w:r>
        <w:rPr>
          <w:rFonts w:hint="eastAsia" w:ascii="宋体"/>
          <w:sz w:val="21"/>
          <w:szCs w:val="24"/>
          <w:lang w:val="zh-CN"/>
        </w:rPr>
        <w:t>财务报告的一般规定》（2014年修订）的披露规定，并基于以下所述重要会计政策、会计估计进行编制。</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本公司会计核算以权责发生制为基础。除某些金融工具以外，本财务报表均以历史成本为计量基础。资产如果发生减值，则按照相关规定计提相应的减值准备。</w:t>
      </w:r>
    </w:p>
    <w:p>
      <w:pPr>
        <w:pStyle w:val="7"/>
        <w:spacing w:beforeLines="0" w:afterLines="0"/>
        <w:outlineLvl w:val="2"/>
        <w:rPr>
          <w:rFonts w:hint="default"/>
          <w:sz w:val="21"/>
          <w:szCs w:val="24"/>
        </w:rPr>
      </w:pPr>
      <w:r>
        <w:rPr>
          <w:rFonts w:hint="default"/>
          <w:sz w:val="21"/>
          <w:szCs w:val="24"/>
        </w:rPr>
        <w:t>2</w:t>
      </w:r>
      <w:r>
        <w:rPr>
          <w:rFonts w:hint="eastAsia"/>
          <w:sz w:val="21"/>
          <w:szCs w:val="24"/>
        </w:rPr>
        <w:t>、持续经营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报告期内及报告期末起至少十二个月，公司业务稳定，资产负债结构合理，具备持续经营能力，不存在影响持续经营能力的重大不利风险。</w:t>
      </w:r>
    </w:p>
    <w:p>
      <w:pPr>
        <w:pStyle w:val="6"/>
        <w:spacing w:beforeLines="0" w:afterLines="0"/>
        <w:outlineLvl w:val="1"/>
        <w:rPr>
          <w:rFonts w:hint="default"/>
          <w:sz w:val="24"/>
          <w:szCs w:val="24"/>
        </w:rPr>
      </w:pPr>
      <w:r>
        <w:rPr>
          <w:rFonts w:hint="eastAsia"/>
          <w:sz w:val="24"/>
          <w:szCs w:val="24"/>
        </w:rPr>
        <w:t>五、重要会计政策及会计估计</w:t>
      </w:r>
    </w:p>
    <w:p>
      <w:pPr>
        <w:spacing w:beforeLines="0" w:afterLines="0"/>
        <w:jc w:val="left"/>
        <w:rPr>
          <w:rFonts w:hint="default"/>
          <w:sz w:val="18"/>
          <w:szCs w:val="24"/>
        </w:rPr>
      </w:pPr>
      <w:r>
        <w:rPr>
          <w:rFonts w:hint="eastAsia"/>
          <w:sz w:val="18"/>
          <w:szCs w:val="24"/>
        </w:rPr>
        <w:t>具体会计政策和会计估计提示：</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本公司从事通用设备制造业。本公司根据实际经营特点，依据相关企业会计准则的规定，对收入确认等交易和事项制定了若干项具体会计政策和会计估计，以下披露内容已涵盖了本公司根据实际经营特点制定的具体会计政策和会计估计。</w:t>
      </w:r>
    </w:p>
    <w:p>
      <w:pPr>
        <w:pStyle w:val="7"/>
        <w:spacing w:beforeLines="0" w:afterLines="0"/>
        <w:outlineLvl w:val="2"/>
        <w:rPr>
          <w:rFonts w:hint="default"/>
          <w:sz w:val="21"/>
          <w:szCs w:val="24"/>
        </w:rPr>
      </w:pPr>
      <w:r>
        <w:rPr>
          <w:rFonts w:hint="default"/>
          <w:sz w:val="21"/>
          <w:szCs w:val="24"/>
        </w:rPr>
        <w:t>1</w:t>
      </w:r>
      <w:r>
        <w:rPr>
          <w:rFonts w:hint="eastAsia"/>
          <w:sz w:val="21"/>
          <w:szCs w:val="24"/>
        </w:rPr>
        <w:t>、遵循企业会计准则的声明</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本公司编制的财务报表符合企业会计准则的要求，真实、完整地反映了本公司2021年12月31日的财务状况及2021年度的经营成果和现金流量等有关信息。</w:t>
      </w:r>
    </w:p>
    <w:p>
      <w:pPr>
        <w:pStyle w:val="7"/>
        <w:spacing w:beforeLines="0" w:afterLines="0"/>
        <w:outlineLvl w:val="2"/>
        <w:rPr>
          <w:rFonts w:hint="default"/>
          <w:sz w:val="21"/>
          <w:szCs w:val="24"/>
        </w:rPr>
      </w:pPr>
      <w:r>
        <w:rPr>
          <w:rFonts w:hint="default"/>
          <w:sz w:val="21"/>
          <w:szCs w:val="24"/>
        </w:rPr>
        <w:t>2</w:t>
      </w:r>
      <w:r>
        <w:rPr>
          <w:rFonts w:hint="eastAsia"/>
          <w:sz w:val="21"/>
          <w:szCs w:val="24"/>
        </w:rPr>
        <w:t>、会计期间</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本公司会计年度为公历年度，即每年1月1日起至12月31日止。</w:t>
      </w:r>
    </w:p>
    <w:p>
      <w:pPr>
        <w:pStyle w:val="7"/>
        <w:spacing w:beforeLines="0" w:afterLines="0"/>
        <w:outlineLvl w:val="2"/>
        <w:rPr>
          <w:rFonts w:hint="default"/>
          <w:sz w:val="21"/>
          <w:szCs w:val="24"/>
        </w:rPr>
      </w:pPr>
      <w:r>
        <w:rPr>
          <w:rFonts w:hint="default"/>
          <w:sz w:val="21"/>
          <w:szCs w:val="24"/>
        </w:rPr>
        <w:t>3</w:t>
      </w:r>
      <w:r>
        <w:rPr>
          <w:rFonts w:hint="eastAsia"/>
          <w:sz w:val="21"/>
          <w:szCs w:val="24"/>
        </w:rPr>
        <w:t>、营业周期</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正常营业周期，是指公司从购买用于加工的资产起至实现现金或现金等价物的期间。本公司以12个月作为正常营业周期，并以其作为资产与负债流动性划分的标准。</w:t>
      </w:r>
    </w:p>
    <w:p>
      <w:pPr>
        <w:pStyle w:val="7"/>
        <w:spacing w:beforeLines="0" w:afterLines="0"/>
        <w:outlineLvl w:val="2"/>
        <w:rPr>
          <w:rFonts w:hint="default"/>
          <w:sz w:val="21"/>
          <w:szCs w:val="24"/>
        </w:rPr>
      </w:pPr>
      <w:r>
        <w:rPr>
          <w:rFonts w:hint="default"/>
          <w:sz w:val="21"/>
          <w:szCs w:val="24"/>
        </w:rPr>
        <w:t>4</w:t>
      </w:r>
      <w:r>
        <w:rPr>
          <w:rFonts w:hint="eastAsia"/>
          <w:sz w:val="21"/>
          <w:szCs w:val="24"/>
        </w:rPr>
        <w:t>、记账本位币</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公司及境内子公司以人民币为记账本位币。公司之境外子公司根据其经营所处的主要经济环境中的货币决定其记账本位币，编制财务报表时折算成人民币。</w:t>
      </w:r>
    </w:p>
    <w:p>
      <w:pPr>
        <w:pStyle w:val="7"/>
        <w:spacing w:beforeLines="0" w:afterLines="0"/>
        <w:outlineLvl w:val="2"/>
        <w:rPr>
          <w:rFonts w:hint="default"/>
          <w:sz w:val="21"/>
          <w:szCs w:val="24"/>
        </w:rPr>
      </w:pPr>
      <w:r>
        <w:rPr>
          <w:rFonts w:hint="default"/>
          <w:sz w:val="21"/>
          <w:szCs w:val="24"/>
        </w:rPr>
        <w:t>5</w:t>
      </w:r>
      <w:r>
        <w:rPr>
          <w:rFonts w:hint="eastAsia"/>
          <w:sz w:val="21"/>
          <w:szCs w:val="24"/>
        </w:rPr>
        <w:t>、同一控制下和非同一控制下企业合并的会计处理方法</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企业合并，是指将两个或两个以上单独的企业合并形成一个报告主体的交易或事项。企业合并分为同一控制下企业合并和非同一控制下企业合并。</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1、同一控制下的企业合并</w:t>
      </w:r>
    </w:p>
    <w:p>
      <w:pPr>
        <w:autoSpaceDE w:val="0"/>
        <w:autoSpaceDN w:val="0"/>
        <w:adjustRightInd w:val="0"/>
        <w:spacing w:before="0" w:beforeLines="0" w:after="0" w:afterLines="0"/>
        <w:ind w:firstLine="459"/>
        <w:jc w:val="left"/>
        <w:rPr>
          <w:rFonts w:hint="eastAsia" w:ascii="宋体"/>
          <w:sz w:val="21"/>
          <w:szCs w:val="24"/>
          <w:lang w:val="zh-CN"/>
        </w:rPr>
      </w:pPr>
      <w:r>
        <w:rPr>
          <w:rFonts w:hint="eastAsia" w:ascii="宋体"/>
          <w:sz w:val="21"/>
          <w:szCs w:val="24"/>
          <w:lang w:val="zh-CN"/>
        </w:rPr>
        <w:t>参与合并的企业在合并前后均受同一方或相同的多方最终控制且该控制并非暂时性的，为同一控制下的企业合并。同一控制下的企业合并，在合并日取得对其他参与合并企业控制权的一方为合并方，参与合并的其他企业为被合并方。合并日，是指合并方实际取得对被合并方控制权的日期。</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同一控制下企业合并形成的长期股权投资合并方以支付现金、转让非现金资产或承担债务方式作为合并对价的，本公司在合并日按照所取得的被合并方在最终控制方合并财务报表中的净资产的账面价值的份额作为长期股权投资的初始投资成本。被合并方在合并日的净资产账面价值为负数的，长期股权投资成本按零确定。如果被合并方在被合并以前，是最终控制方通过非同一控制下的企业合并所控制的，则合并方长期股权投资的初始投资成本包含了相关的商誉金额。长期股权投资的初始投资成本与支付的现金、转让的非现金资产及所承担债务账面价值之间的差额，应当调整资本公积（股本溢价）；资本公积（股本溢价）的余额不足冲减的，依次冲减盈余公积和未分配利润。合并方以发行权益性工具作为合并对价的，按发行股份的面值总额作为股本，长期股权投资的初始投资成本与所发行股份面值总额之间的差额，调整资本公积（股本溢价）；资本公积（股本溢价）不足冲减的，依次冲减盈余公积和未分配利润。</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合并方发生的审计、法律服务、评估咨询等中介费用以及其他相关管理费用，于发生时计入当期损益。与发行权益性工具作为合并对价直接相关的交易费用，冲减资本公积（股本溢价），资本公积（股本溢价）不足冲减的，依次冲减盈余公积和未分配利润。与发行债务性工具作为合并对价直接相关的交易费用，计入债务性工具的初始确认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通过多次交易分步实现同一控制下企业合并，属于“一揽子交易”的，合并方应当将各项交易作为一项取得控制权的交易进行会计处理。不属于“一揽子交易”的，在母公司财务报表中，以合并日持股比例计算的合并日应享有被合并方账面所有者权益份额作为该项投资的初始投资成本，初始投资成本与其原长期股权投资账面价值加上合并日取得进一步股份新支付对价的账面价值之和的差额，调整资本公积（股本溢价），资本公积不足冲减的，冲减留存收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合并财务报表中，合并方在达到合并之前持有的长期股权投资，在取得日与合并方与被合并方向处于同一最终控制之日孰晚日与合并日之间已确认有关损益、其他综合收益和其他所有者权益变动，应分别冲减比较报表期间的期初留存收益或当期损益。</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2、非同一控制下的企业合并</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参与合并的各方在合并前后不受同一方或相同的多方最终控制的，为非同一控制下的企业合并。非同一控制下的企业合并，在购买日取得对其他参与合并企业控制权的一方为购买方，参与合并的其他企业为被购买方。购买日，是指购买方实际取得对被购买方控制权的日期。</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非同一控制下的企业合并，合并成本为购买方在购买日为取得对被购买方的控制权而付出的资产、发生或承担的负债以及发行的权益性证券的公允价值之和。购买方为企业合并发生的审计、法律服务、评估咨询等中介费用以及其他相关管理费用，应于发生时计入当期损益。购买方作为合并对价发行的权益性工具或债务性工具的交易费用，应当计入权益性工具或债务性工具的初始确认金额。所涉及的或有对价按其在购买日的公允价值计入合并成本，购买日后 12 个月内出现对购买日已存在情况的新的或进一步证据而需要调整或有对价的，相应调整合并商誉。</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购买方发生的合并成本及在合并中取得的可辨认净资产按购买日的公允价值计量。合并成本大于合并中取得的被购买方于购买日可辨认净资产公允价值份额的差额，确认为商誉。合并成本小于合并中取得的被购买方可辨认净资产公允价值份额的，首先对取得的被购买方各项可辨认资产、负债及或有负债的公允价值以及合并成本的计量进行复核，复核后合并成本仍小于合并中取得的被购买方可辨认净资产公允价值份额的，其差额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通过多次交易分步实现非同一控制下企业合并的，在母公司财务报表中，以购买日之前所持被购买方的股权投资的账面价值与购买日新增投资成本之和，作为该项投资的初始投资成本。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合并应当转为购买日所属当期投资收益，不能重分类计入当期损益的其他综合收益除外。财务报表中，对于购买日之前持有的被购买方的股权，按照该股权在购买日的公允价值进行重新计量，公允价值与其账面价值的差额计入当期投资收益；购买日之前持有的被购买方的股权涉及其他综合收益的，与其相关的其他综合收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以购买日之前所持被购买方的股权于购买日的公允价值与购买日新购入股权所支付对价的公允价值之和作为合并成本，与购买方取得的按购买日持股比例计算应享有的被购买方可辨认净资产于购买日的公允价值的份额比较，确定购买日应予确认的商誉或应计入合并当期损益的金额。</w:t>
      </w:r>
    </w:p>
    <w:p>
      <w:pPr>
        <w:pStyle w:val="7"/>
        <w:spacing w:beforeLines="0" w:afterLines="0"/>
        <w:outlineLvl w:val="2"/>
        <w:rPr>
          <w:rFonts w:hint="default"/>
          <w:sz w:val="21"/>
          <w:szCs w:val="24"/>
        </w:rPr>
      </w:pPr>
      <w:r>
        <w:rPr>
          <w:rFonts w:hint="default"/>
          <w:sz w:val="21"/>
          <w:szCs w:val="24"/>
        </w:rPr>
        <w:t>6</w:t>
      </w:r>
      <w:r>
        <w:rPr>
          <w:rFonts w:hint="eastAsia"/>
          <w:sz w:val="21"/>
          <w:szCs w:val="24"/>
        </w:rPr>
        <w:t>、合并财务报表的编制方法</w:t>
      </w:r>
    </w:p>
    <w:p>
      <w:pPr>
        <w:autoSpaceDE w:val="0"/>
        <w:autoSpaceDN w:val="0"/>
        <w:adjustRightInd w:val="0"/>
        <w:spacing w:before="150" w:beforeLines="0" w:after="150" w:afterLines="0"/>
        <w:ind w:firstLine="436"/>
        <w:rPr>
          <w:rFonts w:hint="eastAsia" w:ascii="宋体"/>
          <w:b/>
          <w:sz w:val="21"/>
          <w:szCs w:val="24"/>
          <w:lang w:val="zh-CN"/>
        </w:rPr>
      </w:pPr>
      <w:r>
        <w:rPr>
          <w:rFonts w:hint="eastAsia" w:ascii="宋体"/>
          <w:b/>
          <w:sz w:val="21"/>
          <w:szCs w:val="24"/>
          <w:lang w:val="zh-CN"/>
        </w:rPr>
        <w:t>1、合并财务报表范围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公司对合并财务报表的合并范围以控制为基础予以确定。本公司将全部子公司纳入合并财务报表范围。</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2、统一母子公司的会计政策、统一母子公司的资产负债表日及会计期间</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子公司与本公司采用的会计政策或会计期间不一致的，在编制合并财务报表时，按照本公司的会计政策或会计期间对子公司财务报表进行必要的调整。对非同一控制下企业合并取得的子公司，已按照购买日该子公司可辨认的资产、负债及或有负债的公允价值对子公司财务报表进行了相应的调整。</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3、合并财务报表抵销事项</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合并财务报表以母公司和子公司的资产负债表为基础，已抵销了母公司与子公司、子公司相互之间发生的内部交易。子公司所有者权益中不属于母公司的份额，作为少数股东权益，在合并资产负债表中所有者权益项目下以“少数股东权益”项目列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子公司持有母公司的长期股权投资，视为企业集团的库存股，作为所有者权益的减项，在合并资产负债表中所有者权益项目下以“减：库存股”项目列示。</w:t>
      </w:r>
    </w:p>
    <w:p>
      <w:pPr>
        <w:autoSpaceDE w:val="0"/>
        <w:autoSpaceDN w:val="0"/>
        <w:adjustRightInd w:val="0"/>
        <w:spacing w:before="0" w:beforeLines="0" w:after="0" w:afterLines="0"/>
        <w:ind w:firstLine="425"/>
        <w:rPr>
          <w:rFonts w:hint="eastAsia" w:ascii="宋体"/>
          <w:b/>
          <w:sz w:val="21"/>
          <w:szCs w:val="24"/>
          <w:lang w:val="zh-CN"/>
        </w:rPr>
      </w:pPr>
      <w:r>
        <w:rPr>
          <w:rFonts w:hint="eastAsia" w:ascii="宋体"/>
          <w:b/>
          <w:sz w:val="21"/>
          <w:szCs w:val="24"/>
          <w:lang w:val="zh-CN"/>
        </w:rPr>
        <w:t>4、合并取得子公司会计处理</w:t>
      </w:r>
    </w:p>
    <w:p>
      <w:pPr>
        <w:autoSpaceDE w:val="0"/>
        <w:autoSpaceDN w:val="0"/>
        <w:adjustRightInd w:val="0"/>
        <w:spacing w:before="0" w:beforeLines="0" w:after="0" w:afterLines="0"/>
        <w:ind w:firstLine="425"/>
        <w:rPr>
          <w:rFonts w:hint="eastAsia" w:ascii="宋体"/>
          <w:b/>
          <w:sz w:val="21"/>
          <w:szCs w:val="24"/>
          <w:lang w:val="zh-CN"/>
        </w:rPr>
      </w:pPr>
      <w:r>
        <w:rPr>
          <w:rFonts w:hint="eastAsia" w:ascii="宋体"/>
          <w:sz w:val="21"/>
          <w:szCs w:val="24"/>
          <w:lang w:val="zh-CN"/>
        </w:rPr>
        <w:t>对于同一控制下企业合并取得的子公司，视同该企业合并于自最终控制方开始实时控制时已经发生，从合并当期的期初起将其资产、负债、经营成果和现金流量纳入合并财务报表；对于非同一控制下企业合并取得的子公司，在编制合并财务报表时，以购买日可辨认净资产公允价值为基础对其个别财务报表进行调整。</w:t>
      </w:r>
    </w:p>
    <w:p>
      <w:pPr>
        <w:autoSpaceDE w:val="0"/>
        <w:autoSpaceDN w:val="0"/>
        <w:adjustRightInd w:val="0"/>
        <w:spacing w:before="0" w:beforeLines="0" w:after="0" w:afterLines="0"/>
        <w:ind w:firstLine="425"/>
        <w:rPr>
          <w:rFonts w:hint="eastAsia" w:ascii="宋体"/>
          <w:sz w:val="21"/>
          <w:szCs w:val="24"/>
          <w:lang w:val="zh-CN"/>
        </w:rPr>
      </w:pPr>
      <w:r>
        <w:rPr>
          <w:rFonts w:hint="eastAsia" w:ascii="宋体"/>
          <w:sz w:val="21"/>
          <w:szCs w:val="24"/>
          <w:lang w:val="zh-CN"/>
        </w:rPr>
        <w:t>对于因非同一控制企业合并形成的子公司，合并成本大于合并中取得的子公司可辨认净资产公允价值份额的差额，不调整投资成本，在合并财务报表中列作商誉。</w:t>
      </w:r>
    </w:p>
    <w:p>
      <w:pPr>
        <w:autoSpaceDE w:val="0"/>
        <w:autoSpaceDN w:val="0"/>
        <w:adjustRightInd w:val="0"/>
        <w:spacing w:before="0" w:beforeLines="0" w:after="0" w:afterLines="0"/>
        <w:ind w:firstLine="425"/>
        <w:rPr>
          <w:rFonts w:hint="eastAsia" w:ascii="宋体"/>
          <w:sz w:val="21"/>
          <w:szCs w:val="24"/>
          <w:lang w:val="zh-CN"/>
        </w:rPr>
      </w:pPr>
      <w:r>
        <w:rPr>
          <w:rFonts w:hint="eastAsia" w:ascii="宋体"/>
          <w:sz w:val="21"/>
          <w:szCs w:val="24"/>
          <w:lang w:val="zh-CN"/>
        </w:rPr>
        <w:t>对于报告期内增加的子公司，若属于同一控制下企业合并的，调整合并资产负债表的期初数，并将该子公司当期期初至报告期末的收入、费用、利润纳入合并利润表，将同期的现金流量纳入合并现金流量表；若属于非同一控制下的企业合并的，则不调整合并资产负债表的期初数，并将该子公司购买日至报告期末的收入、费用、利润纳入合并利润表，将同期的现金流量纳入合并现金流量表。对于报告期内处置的子公司，不论属于同一控制抑或非同一控制企业合并，均不调整合并资产负债表的期初数，并将该子公司期初至处置日收入、费用、利润纳入合并利润表，及同期的现金流量纳入合并现金流量表。</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5、分步处置子公司股权至丧失控制权的会计处理方法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①不属于“一揽子交易”的分步处置股权至丧失控制权的各项交易在母公司财务报表和合并财务报表中的会计处理方法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丧失控制权之前的各项交易，母公司财务报表中，出售所得价款与处置长期股权投资账面价值之间的差额计入当期投资收益。在合并报表层面，处置价款与处置长期投资相对应享有子公司自购买日或者合并日开始持续计算的净资产份额之间的差额，调整资本公积（股本溢价），不足冲减的，调整留存收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失去控制权时的交易，不能再对被投资单位实施控制的、共同控制或重大影响的，母公司财务报表中，对于剩余股权，改按金融工具确认和计量准则进行会计处理，在丧失控制之日的公允价值与账面价值之间的差额计入当期投资收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失去控制权时的交易，处置后的剩余股权能够对原有子公司实施共同控制或重大影响的，母公司财务报表中，按有关成本法转为权益法的相关规定进行会计处理。在合并财务报表中，对于剩余股权，按照其在丧失控制权日的公允价值进行重新计量。处置股权取得的对价与剩余股权公允价值之和，减去按原持股比例计算应享有原有子公司自购买日开始持续计算的净资产的份额之间的差额，计入丧失控制权当期的投资收益。与原有子公司股权投资相关的其他综合收益，在丧失控制权时转为当期投资收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②属于“一揽子交易”的分步处置股权至丧失控制权的各项交易在母公司财务报表和合并财务报表中的会计处理方法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属于“一揽子交易”的，将各项交易作为一项处置子公司并丧失控制权的交易进行会计处理。在母公司财务报表中将每一次处置价款与处置投资对应的账面价值的差额确认为当期投资收益。在合并财务报表中，对于失去控制权之前的每一次交易，将处置价款与处置投资对应的享有该子公司自购买日开始持续计算的净资产账面价值份额之间的差额确认为其他综合收益，在丧失控制权时一并转入丧失控制权当期的损益。</w:t>
      </w:r>
    </w:p>
    <w:p>
      <w:pPr>
        <w:pStyle w:val="7"/>
        <w:spacing w:beforeLines="0" w:afterLines="0"/>
        <w:outlineLvl w:val="2"/>
        <w:rPr>
          <w:rFonts w:hint="default"/>
          <w:sz w:val="21"/>
          <w:szCs w:val="24"/>
        </w:rPr>
      </w:pPr>
      <w:r>
        <w:rPr>
          <w:rFonts w:hint="default"/>
          <w:sz w:val="21"/>
          <w:szCs w:val="24"/>
        </w:rPr>
        <w:t>7</w:t>
      </w:r>
      <w:r>
        <w:rPr>
          <w:rFonts w:hint="eastAsia"/>
          <w:sz w:val="21"/>
          <w:szCs w:val="24"/>
        </w:rPr>
        <w:t>、合营安排分类及共同经营会计处理方法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合营安排，是指一项由两个或两个以上的参与方共同控制的安排。本公司根据在合营安排中享有的权利和承担的义务，将合营安排分为共同经营和合营企业。</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1、</w:t>
      </w:r>
      <w:r>
        <w:rPr>
          <w:rFonts w:hint="eastAsia" w:ascii="宋体"/>
          <w:sz w:val="21"/>
          <w:szCs w:val="24"/>
          <w:lang w:val="zh-CN"/>
        </w:rPr>
        <w:tab/>
      </w:r>
      <w:r>
        <w:rPr>
          <w:rFonts w:hint="eastAsia" w:ascii="宋体"/>
          <w:sz w:val="21"/>
          <w:szCs w:val="24"/>
          <w:lang w:val="zh-CN"/>
        </w:rPr>
        <w:t>共同经营</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当本公司是合营安排的合营方，享有该安排相关资产且承担该安排相关负债时，为共同经营。</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本公司确认与共同经营中利益份额相关的下列项目，并按照相关企业会计准则的规定进行会计处理：①确认本公司单独所持有的资产，以及按本公司份额确认共同持有的资产；</w:t>
      </w:r>
    </w:p>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②确认本公司单独所承担的负债，以及按本公司份额确认共同承担的负债；③确认出售本公司享有的共同经营产出份额所产生的收入；④按本公司份额确认共同经营因出售产出所产生的收入；⑤确认单独所发生的费用，以及按本公司份额确认共同经营发生的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当本公司作为合营方向共同经营投出或出售资产（该资产不构成业务，下同）、或者自共同经营购买资产时，在该等资产出售给第三方之前，本公司仅确认因该交易产生的损益中归属于共同经营其他参与方的部分。该等资产发生符合《企业会计准则第 8 号</w:t>
      </w:r>
      <w:r>
        <w:rPr>
          <w:rFonts w:hint="default"/>
          <w:sz w:val="21"/>
          <w:szCs w:val="24"/>
          <w:lang w:val="zh-CN"/>
        </w:rPr>
        <w:t>——</w:t>
      </w:r>
      <w:r>
        <w:rPr>
          <w:rFonts w:hint="eastAsia" w:ascii="宋体"/>
          <w:sz w:val="21"/>
          <w:szCs w:val="24"/>
          <w:lang w:val="zh-CN"/>
        </w:rPr>
        <w:t xml:space="preserve">资产减值》等规定的资产减值损失的，对于由本公司向共同经营投出或出售资产的情况，本公司全额确认该损失；对于本公司自共同经营购买资产的情况，本公司按承担的份额确认该损失。 </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2、合营企业</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合营企业，是指本公司仅对该安排的净资产享有权利的合营安排。本公司对合营企业的投资采用权益法核算，相关会计政策见本附注“三、（十九）长期股权投资”。</w:t>
      </w:r>
    </w:p>
    <w:p>
      <w:pPr>
        <w:pStyle w:val="7"/>
        <w:spacing w:beforeLines="0" w:afterLines="0"/>
        <w:outlineLvl w:val="2"/>
        <w:rPr>
          <w:rFonts w:hint="default"/>
          <w:sz w:val="21"/>
          <w:szCs w:val="24"/>
        </w:rPr>
      </w:pPr>
      <w:r>
        <w:rPr>
          <w:rFonts w:hint="default"/>
          <w:sz w:val="21"/>
          <w:szCs w:val="24"/>
        </w:rPr>
        <w:t>8</w:t>
      </w:r>
      <w:r>
        <w:rPr>
          <w:rFonts w:hint="eastAsia"/>
          <w:sz w:val="21"/>
          <w:szCs w:val="24"/>
        </w:rPr>
        <w:t>、现金及现金等价物的确定标准</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本公司在编制现金流量表时所确定的现金，是指本公司库存现金以及可以随时用于支付的存款。</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本公司在编制现金流量表时所确定的现金等价物，是指本公司持有的期限短、流动性强、易于转换为已知金额现金、价值变动风险很小的投资。</w:t>
      </w:r>
    </w:p>
    <w:p>
      <w:pPr>
        <w:pStyle w:val="7"/>
        <w:spacing w:beforeLines="0" w:afterLines="0"/>
        <w:outlineLvl w:val="2"/>
        <w:rPr>
          <w:rFonts w:hint="default"/>
          <w:sz w:val="21"/>
          <w:szCs w:val="24"/>
        </w:rPr>
      </w:pPr>
      <w:r>
        <w:rPr>
          <w:rFonts w:hint="default"/>
          <w:sz w:val="21"/>
          <w:szCs w:val="24"/>
        </w:rPr>
        <w:t>9</w:t>
      </w:r>
      <w:r>
        <w:rPr>
          <w:rFonts w:hint="eastAsia"/>
          <w:sz w:val="21"/>
          <w:szCs w:val="24"/>
        </w:rPr>
        <w:t>、外币业务和外币报表折算</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1、外币业务折算</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本公司对发生的外币交易，采用交易发生日的即期汇率折算人民币入账。</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资产负债表日，外币货币性项目按资产负债表日即期汇率折算，因该日的即期汇率与初始确认时或者前一资产负债表日即期汇率不同而产生的汇兑差额，除符合资本化条件的外币专门借款的汇兑差额在资本化期间予以资本化计入相关资产的成本外，均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以历史成本计量的外币非货币性项目，仍采用交易发生日的即期汇率折算，不改变其记账本位币金额。以公允价值计量的外币非货币性项目，采用公允价值确定日的即期汇率折算，折算后的记账本位币金额与原记账本位币金额的差额，作为公允价值变动（含汇率变动）处理，计入当期损益或确认为其他综合收益。</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2、外币财务报表折算</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本公司的控股子公司、合营企业、联营企业等，若采用与本公司不同的记账本位币，需对其外币财务报表折算后，再进行会计核算及合并财务报表的编报。</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资产负债表中的资产和负债项目，采用资产负债表日的即期汇率折算，所有者权益项目除“未分配利润”项目外，其他项目采用发生时的即期汇率折算。利润表中的收入和费用项目，采用交易发生日的即期汇率折算。折算产生的外币财务报表折算差额，在资产负债表中所有者权益项目其他综合收益下列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外币现金流量按照系统合理方法确定的，采用交易发生日的即期汇率折算。汇率变动对现金的影响额，在现金流量表中单独列示。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处置境外经营时，与该境外经营有关的外币报表折算差额，全部或按处置该境外经营的比例转入处置当期损益。</w:t>
      </w:r>
    </w:p>
    <w:p>
      <w:pPr>
        <w:pStyle w:val="7"/>
        <w:spacing w:beforeLines="0" w:afterLines="0"/>
        <w:outlineLvl w:val="2"/>
        <w:rPr>
          <w:rFonts w:hint="default"/>
          <w:sz w:val="21"/>
          <w:szCs w:val="24"/>
        </w:rPr>
      </w:pPr>
      <w:r>
        <w:rPr>
          <w:rFonts w:hint="default"/>
          <w:sz w:val="21"/>
          <w:szCs w:val="24"/>
        </w:rPr>
        <w:t>10</w:t>
      </w:r>
      <w:r>
        <w:rPr>
          <w:rFonts w:hint="eastAsia"/>
          <w:sz w:val="21"/>
          <w:szCs w:val="24"/>
        </w:rPr>
        <w:t>、金融工具</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金融工具，是指形成一方的金融资产并形成其他方的金融负债或权益工具的合同。在本公司成为金融工具合同的一方时确认一项金融资产或金融负债、权益工具。</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1、金融资产的分类、确认和计量</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根据管理金融资产的业务模式和金融资产的合同现金流量特征，将金融资产划分为：以摊余成本计量的金融资产；以公允价值计量且其变动计入其他综合收益的金融资产；以公允价值计量且其变动计入当期损益的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资产在初始确认时以公允价值计量。对于以公允价值计量且其变动计入当期损益的金融资产，相关交易费用直接计入当期损益；对于其他类别的金融资产，相关交易费用计入初始确认金额。因销售产品或提供劳务而产生的、未包含或不考虑重大融资成分的应收账款或应收票据，本公司按照预期有权收取的对价金额作为初始确认金额。</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债务工具：</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①以摊余成本计量的金融资产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管理此类金融资产的业务模式为以收取合同现金流量为目标，且此类金融资产的合同现金流量特征与基本借贷安排相一致，即在特定日期产生的现金流量，仅为对本金和以未偿付本金金额为基础的利息的支付。本公司对于此类金融资产按照实际利率法确认利息收入，按照摊余成本进行后续计量，其摊销或减值产生的利得或损失，计入当期损益。本公司的此类金融资产主要包括货币资金、应收票据、应收账款、其他应收款、债权投资和长期应收款等，本公司将自资产负债表日起一年内（含一年）到期的债权投资和长期应收款，列示为一年内到期的非流动资产；取得时期限在一年内（含一年）的债权投资列示为其他流动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②以公允价值计量且其变动计入其他综合收益的金融资产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管理此类金融资产的业务模式为既以收取合同现金流量为目标又以出售为目标，且此类金融资产的合同现金流量特征与基本借贷安排相一致。此类金融资产按照公允价值计量且其变动计入其他综合收益，但减值损失或利得、汇兑损益和按照实际利率法计算的利息收入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此外，本公司将部分非交易性权益工具投资指定为以公允价值计量且其变动计入其他综合收益的金融资产。本公司将该类金融资产的相关股利收入计入当期损益，公允价值变动计入其他综合收益。当该金融资产终止确认时，之前计入其他综合收益的累计利得或损失将从其他综合收益转入留存收益，不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③以公允价值计量且其变动计入当期损益的金融资产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将上述以摊余成本计量的金融资产和以公允价值计量且其变动计入其他综合收益的金融资产之外的金融资产，分类为以公允价值计量且其变动计入当期损益的金融资产，列示为交易性金融资产。此外，在初始确认时，本公司为了消除或显著减少会计错配，将部分金融资产指定为以公允价值计量且其变动计入当期损益的金融资产。对于此类金融资产，本公司采用公允价值进行后续计量，公允价值变动计入当期损益。自资产负债表日起超过一年到期且预期持有超过一年的，列示为其他非流动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权益工具：</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本公司将对其没有控制、共同控制和重大影响的权益工具分类为以公允价值计量且其变动计入当期损益的金融资产，列示为交易性金融资产；自资产负债表日起预期持有超过一年的，列示为其他非流动金融资产。</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此外，本公司将部分非交易性权益工具投资指定为以公允价值计量且其变动计入其他综合收益的金融资产，列示为其他权益工具投资，且该指定一经作出不得撤销。本公司将该类金融资产的相关股利收入计入当期损益，公允价值变动计入其他综合收益。当该金融资产终止确认时，之前计入其他综合收益的累计利得或损失将从其他综合收益转入留存收益，不计入当期损益。</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2、金融负债的分类、确认和计量</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本公司根据所发行金融工具的合同条款及其所反映的经济实质而非仅以法律形式，结合金融负债和权益工具的定义，在初始确认时将该金融工具或其组成部分分类为金融负债或权益工具。</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负债于初始确认时分类为以公允价值计量且其变动计入当期损益的金融负债和其他金融负债。对于以公允价值计量且其变动计入当期损益的金融负债，相关交易费用直接计入当期损益，其他金融负债的相关交易费用计入其初始确认金额。</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的金融负债主要为以摊余成本计量的金融负债，包括应付票据及应付账款、其他应付款、借款及应付债券等。该类金融负债按其公允价值扣除交易费用后的金额进行初始计量，并采用实际利率法进行后续计量。期限在一年以下（含一年）的，列示为流动负债；期限在一年以上但自资产负债表日起一年内（含一年）到期的，列示为一年内到期的非流动负债；其余列示为非流动负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当金融负债的现时义务全部或部分已经解除时，本集团终止确认该金融负债或义务已解除的部分。终止确认部分的账面价值与支付的对价之间的差额，计入当期损益。</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3、金融负债与权益工具的区分及相关处理方法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以下原则区分金融负债与权益工具：（1）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2）如果一项金融工具须用或可用本公司自身权益工具进行结算，需要考虑用于结算该工具的本公司自身权益工具，是作为现金或其他金融资产的替代品，还是为了使该工具持有方享有在本公司扣除所有负债后的资产中的剩余权益。如果是前者，该工具是本公司的金融负债；如果是后者，该工具是本公司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义务的金额是固定的，还是完全或部分地基于除本公司自身权益工具的市场价格以外的变量（例如利率、某种商品的价格或某项金融工具的价格）的变动而变动，该合同分类为金融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在合并报表中对金融工具（或其组成部分）进行分类时，考虑了集团成员和金融工具持有方之间达成的所有条款和条件。如果集团作为一个整体由于该工具而承担了交付现金、其他金融资产或者以其他导致该工具成为金融负债的方式进行结算的义务，则该工具应当分类为金融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金融工具或其组成部分属于金融负债的，相关利息、股利（或股息）、利得或损失，以及赎回或再融资产生的利得或损失等，本公司计入当期损益。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金融工具或其组成部分属于权益工具的，其发行（含再融资）、回购、出售或注销时，本公司作为权益的变动处理；本公司不确认权益工具的公允价值变动，与权益性交易相关的交易费用从权益中扣减；本公司对权益工具持有方的分配作为利润分配处理，发放的股票股利不影响股东权益总额。</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4、金融资产转移的确认依据和计量方法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将满足下列条件之一的金融资产，予以终止确认：①收取该金融资产现金流量的合同权利终止；②该金融资产已转移，且将金融资产所有权上几乎所有的风险和报酬转移给转入方；③该金融资产已转移，虽然本公司既没有转移也没有保留金融资产所有权上几乎所有的风险和报酬，但是放弃了对该金融资产的控制。若本公司既没有转移也没有保留金融资产所有权上几乎所有的风险和报酬，且未放弃对该金融资产的控制的，按照继续涉入所转移金融资产的程度确认有关金融资产，并相应确认有关负债。继续涉入所转移金融资产的程度，是指该金融资产价值变动使企业面临的风险水平。</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其他权益工具投资终止确认时，本公司将其账面价值与收到的对价以及原直接计入其他综合收益的公允价值变动累计额之和的差额，计入留存收益；其余金融资产终止确认时，其账面价值与收到的对价以及原直接计入其他综合收益的公允价值变动累计额之和的差额，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对采用附追索权方式出售的金融资产，或将持有的金融资产背书转让，需确定该金融资产所有权上几乎所有的风险和报酬是否已经转移。已将该金融资产所有权上几乎所有的风险和报酬转移给转入方的，终止确认该金融资产；保留了金融资产所有权上几乎所有的风险和报酬的，不终止确认该金融资产；既没有转移也没有保留金融资产所有权上几乎所有的风险和报酬的，则继续判断企业是否对该资产保留了控制，并根据前面各段所述的原则进行会计处理。</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5、金融负债的终止确认</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负债（或其一部分）的现时义务已经解除的，本公司终止确认该金融负债（或该部分金融负债）。本公司（借入方）与借出方签订协议，以承担新金融负债的方式替换原金融负债，且新金融负债与原金融负债的合同条款实质上不同的，终止确认原金融负债，同时确认一项新金融负债。本公司对原金融负债（或其一部分）的合同条款作出实质性修改的，终止确认原金融负债，同时按照修改后的条款确认一项新金融负债。</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金融负债（或其一部分）终止确认的，本公司将其账面价值与支付的对价（包括转出的非现金资产或承担的负债）之间的差额，计入当期损益。</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6、金融资产和金融负债的抵销</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本公司具有抵销已确认金额的金融资产和金融负债的法定权利，且该种法定权利是当前可执行的，同时本公司计划以净额结算或同时变现该金融资产和清偿该金融负债时，金融资产和金融负债以相互抵销后的净额在资产负债表内列示。除此以外，金融资产和金融负债在资产负债表内分别列示，不予相互抵销。</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7、金融资产和金融负债的公允价值确定方法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公允价值，是指市场参与者在计量日发生的有序交易中，出售一项资产所能收到或者转移一项负债所需支付的价格。金融工具存在活跃市场的，本公司采用活跃市场中的报价确定其公允价值。活跃市场中的报价是指易于定期从交易所、经纪商、行业协会、定价服务机构等获得的价格，且代表了在公平交易中实际发生的市场交易的价格。金融工具不存在活跃市场的，本公司采用估值技术确定其公允价值。估值技术包括参考熟悉情况并自愿交易的各方最近进行的市场交易中使用的价格、参照实质上相同的其他金融工具当前的公允价值、现金流量折现法和期权定价模型等。在估值时，公司采用在当前情况下适用并且有足够可利用数据和其他信息支持的估值技术，选择与市场参与者在相关资产或负债的交易中所考虑的资产或负债特征相一致的输入值，并尽可能优先使用相关可观察输入值。在相关可观察输入值无法取得或取得不切实可行的情况下，使用不可输入值。</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 xml:space="preserve">8、金融资产减值 </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本公司对于以摊余成本计量的金融资产、以公允价值计量且其变动计入其他综合收益的债务工具投资等，以预期信用损失为基础确认损失准备。</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①预期信用损失的计量</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本公司考虑有关过去事项、当前状况以及对未来经济状况的预测等合理且有依据的信息，确认预期信用损失。</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在每个资产负债表日，本公司对于处于不同阶段的金融工具的预期信用损失分别进行计量。金融工具自初始确认后信用风险未显著增加的，处于第一阶段，本公司按照未来12 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对于在资产负债表日具有较低信用风险的金融工具，本公司假设其信用风险自初始确认后并未显著增加，按照未来12 个月内的预期信用损失计量损失准备。</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对于因销售商品、提供劳务等日常经营活动形成的应收票据和应收账款，无论是否存在重大融资成分，本公司均按照整个存续期的预期信用损失计量损失准备。</w:t>
      </w:r>
    </w:p>
    <w:p>
      <w:pPr>
        <w:autoSpaceDE w:val="0"/>
        <w:autoSpaceDN w:val="0"/>
        <w:adjustRightInd w:val="0"/>
        <w:spacing w:before="150" w:beforeLines="0" w:after="0" w:afterLines="0"/>
        <w:ind w:firstLine="436"/>
        <w:jc w:val="left"/>
        <w:rPr>
          <w:rFonts w:hint="eastAsia" w:ascii="宋体"/>
          <w:sz w:val="21"/>
          <w:szCs w:val="24"/>
          <w:lang w:val="zh-CN"/>
        </w:rPr>
      </w:pPr>
      <w:r>
        <w:rPr>
          <w:rFonts w:hint="eastAsia" w:ascii="宋体"/>
          <w:sz w:val="21"/>
          <w:szCs w:val="24"/>
          <w:lang w:val="zh-CN"/>
        </w:rPr>
        <w:t>A  应收款项：</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于存在客观证据表明存在减值，以及其他适用于单项评估的应收票据、应收账款，其他应收款、应收款项融资及长期应收款等单独进行减值测试，确认预期信用损失，计提单项减值准备。对于不存在减值客观证据的应收票据、应收账款、其他应收款及应收款项融资或当单项金融资产无法以合理成本评估预期信用损失的信息时，本公司依据信用风险特征将应收票据、应收账款、其他应收款、应收款项融资及长期应收款等划分为若干组合，在组合基础上计算预期信用损失，确定组合的依据如下：</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a、应收票据确定组合的依据如下：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应收票据组合1--银行承兑汇票</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信用风险较低的银行</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应收票据组合2--商业承兑汇票</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信用风险较高的企业</w:t>
            </w:r>
          </w:p>
        </w:tc>
      </w:tr>
    </w:tbl>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对于划分为组合的应收票据，本公司参考历史信用损失经验，结合当前状况以及对未来经济状况的预测，通过违约风险敞口和整个存续期预期信用损失率，计算预期信用损失。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b、应收账款确定组合的依据如下：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应收账款组合1</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应收第三方款项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应收账款组合2</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应收关联方款项</w:t>
            </w:r>
          </w:p>
        </w:tc>
      </w:tr>
    </w:tbl>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对于划分为组合的应收账款，本公司参考历史信用损失经验，结合当前状况以及对未来经济状况的预测，编制应收账款逾期天数与整个存续期预期信用损失率对照表，计算预期信用损失。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c、其他应收款确定组合的依据如下：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其他应收款组合1</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应收股利</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其他应收款组合2</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应收利息</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其他应收款组合3</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应收关联方款项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其他应收款组合4</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应收其他款项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其他应收款组合5</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应收其他单位款项</w:t>
            </w:r>
          </w:p>
        </w:tc>
      </w:tr>
    </w:tbl>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对于划分为组合的其他应收款，本公司参考历史信用损失经验，结合当前状况以及对未来经济状况的预测，通过违约风险敞口和未来12 个月内或整个存续期预期信用损失率，计算预期信用损失。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d、应收款项融资确定组合的依据如下：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应收款项融资组合1--银行承兑汇票</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信用风险较低的银行</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应收款项融资组合2--商业承兑汇票</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信用风险较高的企业</w:t>
            </w:r>
          </w:p>
        </w:tc>
      </w:tr>
    </w:tbl>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对于划分为组合的应收款项融资，本公司参考历史信用损失经验，结合当前状况以及对未来经济状况的预测，通过违约风险敞口和整个存续期预期信用损失率，计算预期信用损失。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 xml:space="preserve">   e、合同资产确定组合的依据如下：</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644"/>
        <w:gridCol w:w="4644"/>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合同资产组合1</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应收第三方款项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21"/>
                <w:szCs w:val="24"/>
                <w:lang w:val="zh-CN"/>
              </w:rPr>
            </w:pPr>
            <w:r>
              <w:rPr>
                <w:rFonts w:hint="eastAsia" w:ascii="宋体"/>
                <w:sz w:val="21"/>
                <w:szCs w:val="24"/>
                <w:lang w:val="zh-CN"/>
              </w:rPr>
              <w:t>合同资产组合2</w:t>
            </w:r>
          </w:p>
        </w:tc>
        <w:tc>
          <w:tcPr>
            <w:tcW w:w="4644"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545"/>
              <w:jc w:val="center"/>
              <w:rPr>
                <w:rFonts w:hint="eastAsia" w:ascii="宋体"/>
                <w:sz w:val="21"/>
                <w:szCs w:val="24"/>
                <w:lang w:val="zh-CN"/>
              </w:rPr>
            </w:pPr>
            <w:r>
              <w:rPr>
                <w:rFonts w:hint="eastAsia" w:ascii="宋体"/>
                <w:sz w:val="21"/>
                <w:szCs w:val="24"/>
                <w:lang w:val="zh-CN"/>
              </w:rPr>
              <w:t>应收关联方款项</w:t>
            </w:r>
          </w:p>
        </w:tc>
      </w:tr>
    </w:tbl>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对于划分为组合的合同资产，本公司参考历史信用损失经验，结合当前状况以及对未来经济状况的预测，通过违约风险敞口和整个存续期预期信用损失率，计算预期信用损失。</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 xml:space="preserve">     B 债权投资、其他债权投资</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对于债权投资和其他债权投资，本公司按照投资的性质，根据交易对手和风险敞口的各种类型，通过违约风险敞口和未来 12 个月内或整个存续期预期信用损失率，计算预期信用损失。</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②具有较低的信用风险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如果金融工具的违约风险较低，借款人在短期内履行其合同现金流量义务的能力很强， 并且即便较长时期内经济形势和经营环境存在不利变化但未必一定降低借款人履行其合同现  金流量义务的能力，该金融工具被视为具有较低的信用风险。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③信用风险显著增加</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本公司通过比较金融工具在资产负债表日所确定的预计存续期内的违约概率与在初始 确认时所确定的预计存续期内的违约概率，以确定金融工具预计存续期内发生违约概率的相 对变化，以评估金融工具的信用风险自初始确认后是否已显著增加。</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在确定信用风险自初始确认后是否显著增加时，本公司考虑无须付出不必要的额外成本 或努力即可获得的合理且有依据的信息，包括前瞻性信息。本公司考虑的信息包括：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w:t>
      </w:r>
      <w:r>
        <w:rPr>
          <w:rFonts w:hint="eastAsia" w:ascii="宋体"/>
          <w:sz w:val="21"/>
          <w:szCs w:val="24"/>
          <w:lang w:val="zh-CN"/>
        </w:rPr>
        <w:tab/>
      </w:r>
      <w:r>
        <w:rPr>
          <w:rFonts w:hint="eastAsia" w:ascii="宋体"/>
          <w:sz w:val="21"/>
          <w:szCs w:val="24"/>
          <w:lang w:val="zh-CN"/>
        </w:rPr>
        <w:t>信用风险变化所导致的内部价格指标是否发生显著变化；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w:t>
      </w:r>
      <w:r>
        <w:rPr>
          <w:rFonts w:hint="eastAsia" w:ascii="宋体"/>
          <w:sz w:val="21"/>
          <w:szCs w:val="24"/>
          <w:lang w:val="zh-CN"/>
        </w:rPr>
        <w:tab/>
      </w:r>
      <w:r>
        <w:rPr>
          <w:rFonts w:hint="eastAsia" w:ascii="宋体"/>
          <w:sz w:val="21"/>
          <w:szCs w:val="24"/>
          <w:lang w:val="zh-CN"/>
        </w:rPr>
        <w:t>预期将导致债务人履行其偿债义务的能力是否发生显著变化的业务、财务或经济状 况的不利变化；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C.</w:t>
      </w:r>
      <w:r>
        <w:rPr>
          <w:rFonts w:hint="eastAsia" w:ascii="宋体"/>
          <w:sz w:val="21"/>
          <w:szCs w:val="24"/>
          <w:lang w:val="zh-CN"/>
        </w:rPr>
        <w:tab/>
      </w:r>
      <w:r>
        <w:rPr>
          <w:rFonts w:hint="eastAsia" w:ascii="宋体"/>
          <w:sz w:val="21"/>
          <w:szCs w:val="24"/>
          <w:lang w:val="zh-CN"/>
        </w:rPr>
        <w:t>债务人经营成果实际或预期是否发生显著变化；债务人所处的监管、经济或技术环 境是否发生显著不利变化；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D.</w:t>
      </w:r>
      <w:r>
        <w:rPr>
          <w:rFonts w:hint="eastAsia" w:ascii="宋体"/>
          <w:sz w:val="21"/>
          <w:szCs w:val="24"/>
          <w:lang w:val="zh-CN"/>
        </w:rPr>
        <w:tab/>
      </w:r>
      <w:r>
        <w:rPr>
          <w:rFonts w:hint="eastAsia" w:ascii="宋体"/>
          <w:sz w:val="21"/>
          <w:szCs w:val="24"/>
          <w:lang w:val="zh-CN"/>
        </w:rPr>
        <w:t>作为债务抵押的担保物价值或第三方提供的担保或信用增级质量是否发生显著变 化。这些变化预期将降低债务人按合同规定期限还款的经济动机或者影响违约概率；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E.</w:t>
      </w:r>
      <w:r>
        <w:rPr>
          <w:rFonts w:hint="eastAsia" w:ascii="宋体"/>
          <w:sz w:val="21"/>
          <w:szCs w:val="24"/>
          <w:lang w:val="zh-CN"/>
        </w:rPr>
        <w:tab/>
      </w:r>
      <w:r>
        <w:rPr>
          <w:rFonts w:hint="eastAsia" w:ascii="宋体"/>
          <w:sz w:val="21"/>
          <w:szCs w:val="24"/>
          <w:lang w:val="zh-CN"/>
        </w:rPr>
        <w:t>预期将降低债务人按合同约定期限还款的经济动机是否发生显著变化；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F.</w:t>
      </w:r>
      <w:r>
        <w:rPr>
          <w:rFonts w:hint="eastAsia" w:ascii="宋体"/>
          <w:sz w:val="21"/>
          <w:szCs w:val="24"/>
          <w:lang w:val="zh-CN"/>
        </w:rPr>
        <w:tab/>
      </w:r>
      <w:r>
        <w:rPr>
          <w:rFonts w:hint="eastAsia" w:ascii="宋体"/>
          <w:sz w:val="21"/>
          <w:szCs w:val="24"/>
          <w:lang w:val="zh-CN"/>
        </w:rPr>
        <w:t>借款合同的预期变更，包括预计违反合同的行为是否可能导致的合同义务的免除或 修订、给予免息期、利率跳升、要求追加抵押品或担保或者对金融工具的合同框架做出其他 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G.</w:t>
      </w:r>
      <w:r>
        <w:rPr>
          <w:rFonts w:hint="eastAsia" w:ascii="宋体"/>
          <w:sz w:val="21"/>
          <w:szCs w:val="24"/>
          <w:lang w:val="zh-CN"/>
        </w:rPr>
        <w:tab/>
      </w:r>
      <w:r>
        <w:rPr>
          <w:rFonts w:hint="eastAsia" w:ascii="宋体"/>
          <w:sz w:val="21"/>
          <w:szCs w:val="24"/>
          <w:lang w:val="zh-CN"/>
        </w:rPr>
        <w:t>债务人预期表现和还款行为是否发生显著变化；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H.</w:t>
      </w:r>
      <w:r>
        <w:rPr>
          <w:rFonts w:hint="eastAsia" w:ascii="宋体"/>
          <w:sz w:val="21"/>
          <w:szCs w:val="24"/>
          <w:lang w:val="zh-CN"/>
        </w:rPr>
        <w:tab/>
      </w:r>
      <w:r>
        <w:rPr>
          <w:rFonts w:hint="eastAsia" w:ascii="宋体"/>
          <w:sz w:val="21"/>
          <w:szCs w:val="24"/>
          <w:lang w:val="zh-CN"/>
        </w:rPr>
        <w:t>合同付款是否发生逾期超过（含）30 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根据金融工具的性质，本公司以单项金融工具或金融工具组合为基础评估信用风险是否 显著增加。以金融工具组合为基础进行评估时，本公司可基于共同信用风险特征对金融工具 进行分类，例如逾期信息和信用风险评级。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通常情况下，如果逾期超过 30 日，本公司确定金融工具的信用风险已经显著增加。除非本公司无需付出过多成本或努力即可获得合理且有依据的信息，证明虽然超过合同约定的 付款期限 30 天，但信用风险自初始确认以来并未显著增加。</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④已发生信用减值的金融资产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本公司在资产负债表日评估以摊余成本计量的金融资产和以公允价值计量且其变动计  入其他综合收益的债权投资是否已发生信用减值。当对金融资产预期未来现金流量具有不利  影响的一项或多项事件发生时，该金融资产成为已发生信用减值的金融资产。金融资产已发  生信用减值的证据包括下列可观察信息：发行方或债务人发生重大财务困难；债务人违反合  同，如偿付利息或本金违约或逾期等；债权人出于与债务人财务困难有关的经济或合同考虑， 给予债务人在任何其他情况下都不会做出的让步；债务人很可能破产或进行其他财务重组；</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发行方或债务人财务困难导致该金融资产的活跃市场消失；以大幅折扣购买或源生一项金融 资产，该折扣反映了发生信用损失的事实。</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⑤预期信用损失准备的列报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为反映金融工具的信用风险自初始确认后的变化，本公司在每个资产负债表日重新计量 预期信用损失，由此形成的损失准备的增加或转回金额，应当作为减值损失或利得计入当期 损益。对于以摊余成本计量的金融资产，损失准备抵减该金融资产在资产负债表中列示的账 面价值；对于以公允价值计量且其变动计入其他综合收益的债权投资，本公司在其他综合收 益中确认其损失准备，不抵减该金融资产的账面价值。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⑥核销</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如果本公司不再合理预期金融资产合同现金流量能够全部或部分收回，则直接减记该金 融资产的账面余额，这种减记构成相关金融资产的终止确认。这种情况通常发生在本公司确 定债务人没有资产或收入来源可产生足够的现金流量以偿还将被减记的金额。已减记的金融 资产以后又收回的，作为减值损失的转回计入收回当期的损益。</w:t>
      </w:r>
    </w:p>
    <w:p>
      <w:pPr>
        <w:pStyle w:val="7"/>
        <w:spacing w:beforeLines="0" w:afterLines="0"/>
        <w:outlineLvl w:val="2"/>
        <w:rPr>
          <w:rFonts w:hint="default"/>
          <w:sz w:val="21"/>
          <w:szCs w:val="24"/>
        </w:rPr>
      </w:pPr>
      <w:r>
        <w:rPr>
          <w:rFonts w:hint="default"/>
          <w:sz w:val="21"/>
          <w:szCs w:val="24"/>
        </w:rPr>
        <w:t>11</w:t>
      </w:r>
      <w:r>
        <w:rPr>
          <w:rFonts w:hint="eastAsia"/>
          <w:sz w:val="21"/>
          <w:szCs w:val="24"/>
        </w:rPr>
        <w:t>、应收票据</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本公司对于应收票据按照相当于整个存续期内的预期信用损失金额计量损失准备。对于划分为组合的应收票据，本公司参考历史信用损失经验，结合当前状况以及对未来经济状况的预测，通过违约风险敞口和整个存续期预期信用损失率，计算预期信用损失。除了单项评估信用风险的应收票据外，基于应收票据的信用风险特征，将其划分为不同组合：</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419"/>
        <w:gridCol w:w="4669"/>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21"/>
                <w:szCs w:val="24"/>
                <w:lang w:val="zh-CN"/>
              </w:rPr>
            </w:pPr>
            <w:r>
              <w:rPr>
                <w:rFonts w:hint="eastAsia" w:ascii="宋体"/>
                <w:b/>
                <w:sz w:val="21"/>
                <w:szCs w:val="24"/>
                <w:lang w:val="zh-CN"/>
              </w:rPr>
              <w:t>项目</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21"/>
                <w:szCs w:val="24"/>
                <w:lang w:val="zh-CN"/>
              </w:rPr>
            </w:pPr>
            <w:r>
              <w:rPr>
                <w:rFonts w:hint="eastAsia" w:ascii="宋体"/>
                <w:b/>
                <w:sz w:val="21"/>
                <w:szCs w:val="24"/>
                <w:lang w:val="zh-CN"/>
              </w:rPr>
              <w:t>确定组合的依据</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银行承兑汇票</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21"/>
                <w:szCs w:val="24"/>
                <w:lang w:val="zh-CN"/>
              </w:rPr>
            </w:pPr>
            <w:r>
              <w:rPr>
                <w:rFonts w:hint="eastAsia" w:ascii="宋体"/>
                <w:sz w:val="21"/>
                <w:szCs w:val="24"/>
                <w:lang w:val="zh-CN"/>
              </w:rPr>
              <w:t>承兑人为信用风险较小的银行</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商业承兑汇票</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21"/>
                <w:szCs w:val="24"/>
                <w:lang w:val="zh-CN"/>
              </w:rPr>
            </w:pPr>
            <w:r>
              <w:rPr>
                <w:rFonts w:hint="eastAsia" w:ascii="宋体"/>
                <w:sz w:val="21"/>
                <w:szCs w:val="24"/>
                <w:lang w:val="zh-CN"/>
              </w:rPr>
              <w:t>承兑人为信用风险较高的公司</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rPr>
          <w:gridAfter w:val="1"/>
          <w:wAfter w:w="4669" w:type="dxa"/>
        </w:trPr>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default" w:eastAsia="Times New Roman"/>
                <w:sz w:val="21"/>
                <w:szCs w:val="24"/>
                <w:lang w:val="zh-CN"/>
              </w:rPr>
            </w:pPr>
          </w:p>
        </w:tc>
      </w:tr>
    </w:tbl>
    <w:p>
      <w:pPr>
        <w:pStyle w:val="7"/>
        <w:spacing w:beforeLines="0" w:afterLines="0"/>
        <w:outlineLvl w:val="2"/>
        <w:rPr>
          <w:rFonts w:hint="default"/>
          <w:sz w:val="21"/>
          <w:szCs w:val="24"/>
        </w:rPr>
      </w:pPr>
      <w:r>
        <w:rPr>
          <w:rFonts w:hint="default"/>
          <w:sz w:val="21"/>
          <w:szCs w:val="24"/>
        </w:rPr>
        <w:t>12</w:t>
      </w:r>
      <w:r>
        <w:rPr>
          <w:rFonts w:hint="eastAsia"/>
          <w:sz w:val="21"/>
          <w:szCs w:val="24"/>
        </w:rPr>
        <w:t>、应收账款</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对于不含重大融资成分的应收账款，本公司按照相当于整个存续期内的预期信用损失金额计量损失准备。</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对于包含重大融资成分的应收账款，本公司选择始终按照相当于存续期内预期信用损失的金额计量损失准备。</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除了单项评估信用风险的应收账款外，基于其信用风险特征，将其划分为不同组合：</w:t>
      </w:r>
    </w:p>
    <w:tbl>
      <w:tblPr>
        <w:tblStyle w:val="4"/>
        <w:tblW w:w="0" w:type="auto"/>
        <w:tblInd w:w="10" w:type="dxa"/>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Layout w:type="fixed"/>
        <w:tblCellMar>
          <w:top w:w="10" w:type="dxa"/>
          <w:left w:w="10" w:type="dxa"/>
          <w:bottom w:w="10" w:type="dxa"/>
          <w:right w:w="10" w:type="dxa"/>
        </w:tblCellMar>
      </w:tblPr>
      <w:tblGrid>
        <w:gridCol w:w="4419"/>
        <w:gridCol w:w="4669"/>
      </w:tblGrid>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21"/>
                <w:szCs w:val="24"/>
                <w:lang w:val="zh-CN"/>
              </w:rPr>
            </w:pPr>
            <w:r>
              <w:rPr>
                <w:rFonts w:hint="eastAsia" w:ascii="宋体"/>
                <w:b/>
                <w:sz w:val="21"/>
                <w:szCs w:val="24"/>
                <w:lang w:val="zh-CN"/>
              </w:rPr>
              <w:t>项目</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21"/>
                <w:szCs w:val="24"/>
                <w:lang w:val="zh-CN"/>
              </w:rPr>
            </w:pPr>
            <w:r>
              <w:rPr>
                <w:rFonts w:hint="eastAsia" w:ascii="宋体"/>
                <w:b/>
                <w:sz w:val="21"/>
                <w:szCs w:val="24"/>
                <w:lang w:val="zh-CN"/>
              </w:rPr>
              <w:t>确定组合的依据</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应收第三方款项</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21"/>
                <w:szCs w:val="24"/>
                <w:lang w:val="zh-CN"/>
              </w:rPr>
            </w:pPr>
            <w:r>
              <w:rPr>
                <w:rFonts w:hint="eastAsia" w:ascii="宋体"/>
                <w:sz w:val="21"/>
                <w:szCs w:val="24"/>
                <w:lang w:val="zh-CN"/>
              </w:rPr>
              <w:t>本组合为风险较低应收关联方的应收款项</w:t>
            </w:r>
          </w:p>
        </w:tc>
      </w:tr>
      <w:tr>
        <w:tblPrEx>
          <w:tblBorders>
            <w:top w:val="single" w:color="auto" w:sz="8" w:space="0"/>
            <w:left w:val="single" w:color="auto" w:sz="8" w:space="0"/>
            <w:bottom w:val="single" w:color="auto" w:sz="12" w:space="0"/>
            <w:right w:val="none" w:color="auto" w:sz="0" w:space="0"/>
            <w:insideH w:val="single" w:color="auto" w:sz="8" w:space="0"/>
            <w:insideV w:val="single" w:color="auto" w:sz="8" w:space="0"/>
          </w:tblBorders>
          <w:tblCellMar>
            <w:top w:w="10" w:type="dxa"/>
            <w:left w:w="10" w:type="dxa"/>
            <w:bottom w:w="10" w:type="dxa"/>
            <w:right w:w="10" w:type="dxa"/>
          </w:tblCellMar>
        </w:tblPrEx>
        <w:tc>
          <w:tcPr>
            <w:tcW w:w="441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应收关联方款项</w:t>
            </w:r>
          </w:p>
        </w:tc>
        <w:tc>
          <w:tcPr>
            <w:tcW w:w="4669" w:type="dxa"/>
            <w:tcBorders>
              <w:top w:val="single" w:color="auto" w:sz="8" w:space="0"/>
              <w:left w:val="single" w:color="auto" w:sz="8"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21"/>
                <w:szCs w:val="24"/>
                <w:lang w:val="zh-CN"/>
              </w:rPr>
            </w:pPr>
            <w:r>
              <w:rPr>
                <w:rFonts w:hint="eastAsia" w:ascii="宋体"/>
                <w:sz w:val="21"/>
                <w:szCs w:val="24"/>
                <w:lang w:val="zh-CN"/>
              </w:rPr>
              <w:t>本组合以应收款项账龄作为信用风险特征</w:t>
            </w:r>
          </w:p>
        </w:tc>
      </w:tr>
    </w:tbl>
    <w:p>
      <w:pPr>
        <w:autoSpaceDE w:val="0"/>
        <w:autoSpaceDN w:val="0"/>
        <w:adjustRightInd w:val="0"/>
        <w:spacing w:before="150" w:beforeLines="0" w:after="0" w:afterLines="0"/>
        <w:ind w:firstLine="436"/>
        <w:jc w:val="left"/>
        <w:rPr>
          <w:rFonts w:hint="eastAsia" w:ascii="宋体"/>
          <w:sz w:val="21"/>
          <w:szCs w:val="24"/>
          <w:lang w:val="zh-CN"/>
        </w:rPr>
      </w:pPr>
      <w:r>
        <w:rPr>
          <w:rFonts w:hint="eastAsia" w:ascii="宋体"/>
          <w:sz w:val="21"/>
          <w:szCs w:val="24"/>
          <w:lang w:val="zh-CN"/>
        </w:rPr>
        <w:t>对于划分为组合的应收账款，本公司参考历史信用损失经验，结合当前状况以及对未来经济状况的预测，编制应收账款逾期天数与整个存续期预期信用损失率对照表，计算预期信用损失。</w:t>
      </w:r>
    </w:p>
    <w:p>
      <w:pPr>
        <w:pStyle w:val="7"/>
        <w:spacing w:beforeLines="0" w:afterLines="0"/>
        <w:outlineLvl w:val="2"/>
        <w:rPr>
          <w:rFonts w:hint="default"/>
          <w:sz w:val="21"/>
          <w:szCs w:val="24"/>
        </w:rPr>
      </w:pPr>
      <w:r>
        <w:rPr>
          <w:rFonts w:hint="default"/>
          <w:sz w:val="21"/>
          <w:szCs w:val="24"/>
        </w:rPr>
        <w:t>13</w:t>
      </w:r>
      <w:r>
        <w:rPr>
          <w:rFonts w:hint="eastAsia"/>
          <w:sz w:val="21"/>
          <w:szCs w:val="24"/>
        </w:rPr>
        <w:t>、应收款项融资</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当应收票据和应收账款同时满足以下条件时，本公司将其划分为以公允价值计量且其变动计入其他综</w:t>
      </w:r>
    </w:p>
    <w:p>
      <w:pPr>
        <w:autoSpaceDE w:val="0"/>
        <w:autoSpaceDN w:val="0"/>
        <w:adjustRightInd w:val="0"/>
        <w:spacing w:before="0" w:beforeLines="0" w:after="0" w:afterLines="0"/>
        <w:ind w:firstLine="200"/>
        <w:jc w:val="left"/>
        <w:rPr>
          <w:rFonts w:hint="eastAsia" w:ascii="宋体"/>
          <w:sz w:val="21"/>
          <w:szCs w:val="24"/>
          <w:lang w:val="zh-CN"/>
        </w:rPr>
      </w:pPr>
      <w:r>
        <w:rPr>
          <w:rFonts w:hint="eastAsia" w:ascii="宋体"/>
          <w:sz w:val="21"/>
          <w:szCs w:val="24"/>
          <w:lang w:val="zh-CN"/>
        </w:rPr>
        <w:t>合收益的金融资产，相关具体会计处理方式见金融工具，在报表中列示为应收款项融资：</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（1）合同现金流量为对本金和以未偿付本金金额为基础的利息的支付；</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sz w:val="21"/>
          <w:szCs w:val="24"/>
          <w:lang w:val="zh-CN"/>
        </w:rPr>
        <w:t>（2）本公司管理应收票据和应收账款的业务模式既以收取合同现金流量为目标又以出售为目标。</w:t>
      </w:r>
    </w:p>
    <w:p>
      <w:pPr>
        <w:pStyle w:val="7"/>
        <w:spacing w:beforeLines="0" w:afterLines="0"/>
        <w:outlineLvl w:val="2"/>
        <w:rPr>
          <w:rFonts w:hint="default"/>
          <w:sz w:val="21"/>
          <w:szCs w:val="24"/>
        </w:rPr>
      </w:pPr>
      <w:r>
        <w:rPr>
          <w:rFonts w:hint="default"/>
          <w:sz w:val="21"/>
          <w:szCs w:val="24"/>
        </w:rPr>
        <w:t>14</w:t>
      </w:r>
      <w:r>
        <w:rPr>
          <w:rFonts w:hint="eastAsia"/>
          <w:sz w:val="21"/>
          <w:szCs w:val="24"/>
        </w:rPr>
        <w:t>、其他应收款</w:t>
      </w:r>
    </w:p>
    <w:p>
      <w:pPr>
        <w:spacing w:beforeLines="0" w:afterLines="0"/>
        <w:jc w:val="left"/>
        <w:rPr>
          <w:rFonts w:hint="default"/>
          <w:sz w:val="18"/>
          <w:szCs w:val="24"/>
        </w:rPr>
      </w:pPr>
      <w:r>
        <w:rPr>
          <w:rFonts w:hint="eastAsia"/>
          <w:sz w:val="18"/>
          <w:szCs w:val="24"/>
        </w:rPr>
        <w:t>其他应收款的预期信用损失的确定方法及会计处理方法</w:t>
      </w:r>
    </w:p>
    <w:p>
      <w:pPr>
        <w:autoSpaceDE w:val="0"/>
        <w:autoSpaceDN w:val="0"/>
        <w:adjustRightInd w:val="0"/>
        <w:spacing w:before="150" w:beforeLines="0" w:after="150" w:afterLines="0"/>
        <w:ind w:left="40" w:firstLine="456"/>
        <w:rPr>
          <w:rFonts w:hint="eastAsia" w:ascii="宋体"/>
          <w:b/>
          <w:sz w:val="21"/>
          <w:szCs w:val="24"/>
          <w:lang w:val="zh-CN"/>
        </w:rPr>
      </w:pPr>
      <w:r>
        <w:rPr>
          <w:rFonts w:hint="eastAsia" w:ascii="宋体"/>
          <w:sz w:val="21"/>
          <w:szCs w:val="24"/>
          <w:lang w:val="zh-CN"/>
        </w:rPr>
        <w:t>其他应收款的预期信用损失的确定方法及会计处理方法详见三、（十）金融工具。</w:t>
      </w:r>
    </w:p>
    <w:p>
      <w:pPr>
        <w:pStyle w:val="7"/>
        <w:spacing w:beforeLines="0" w:afterLines="0"/>
        <w:outlineLvl w:val="2"/>
        <w:rPr>
          <w:rFonts w:hint="default"/>
          <w:sz w:val="21"/>
          <w:szCs w:val="24"/>
        </w:rPr>
      </w:pPr>
      <w:r>
        <w:rPr>
          <w:rFonts w:hint="default"/>
          <w:sz w:val="21"/>
          <w:szCs w:val="24"/>
        </w:rPr>
        <w:t>15</w:t>
      </w:r>
      <w:r>
        <w:rPr>
          <w:rFonts w:hint="eastAsia"/>
          <w:sz w:val="21"/>
          <w:szCs w:val="24"/>
        </w:rPr>
        <w:t>、存货</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1、存货分类</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存货包括生产经营过程中为销售或耗用而持有的原材料、处在生产过程中的在产品、、在生产过程或提供劳务过程中耗用的材料和物料等。主要包括原材料、周转材料、委托加工物资、包装物、在产品、半成品、库存商品等。</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2、存货取得和发出的计价方法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（1）公司存货按实际成本进行初始计量，存货成本包括采购成本、加工成本和其他使存货达到目前场所和状态所发生的支出。存货发出时，采用加权平均法确定其实际成本。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（2）低值易耗品及周转材料采用五五摊销法核算。</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（3）包装物采用一次摊销法核算。</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3、存货数量的盘存方法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公司存货数量的盘存方法采用永续盘存制。</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4、存货跌价准备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资产负债表日，本公司存货按照成本与可变现净值孰低计量。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于产成品、商品和用于出售的材料等可直接用于出售的存货，按该等存货的估计售价减去估计的销售费用和相关税费后的金额确定其可变现净值；用于生产而持有的材料等存货，其可变现净值按所生产的产成品的估计售价减去至完工时估计将要发生的成本、估计的销售费用和相关税费后的金额确定；为执行销售合同或者劳务合同而持有的存货，其可变现净值以合同价格为基础计算，若本公司持有存货的数量多于销售合同订购数量的，超出部分的存货可变现净值以一般销售价格为基础计算。</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单个存货项目计提存货跌价准备。但如果某些存货与在同一地区生产和销售的产品系列相关、具有相同或类似最终用途或目的，且难以与其他项目分开计量，可以合并计量成本与可变现净值；对于数量繁多、单价较低的存货，本公司按照存货类别计量成本与可变现净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资产负债表日，如果本公司存货成本高于其可变现净值的，计提存货跌价准备，并计入当期损益。如果以前减记存货价值的影响因素已经消失的，本公司将减记的金额予以恢复，并在原已计提的存货跌价准备金额内转回，转回的金额计入当期损益。</w:t>
      </w:r>
    </w:p>
    <w:p>
      <w:pPr>
        <w:pStyle w:val="7"/>
        <w:spacing w:beforeLines="0" w:afterLines="0"/>
        <w:outlineLvl w:val="2"/>
        <w:rPr>
          <w:rFonts w:hint="default"/>
          <w:sz w:val="21"/>
          <w:szCs w:val="24"/>
        </w:rPr>
      </w:pPr>
      <w:r>
        <w:rPr>
          <w:rFonts w:hint="default"/>
          <w:sz w:val="21"/>
          <w:szCs w:val="24"/>
        </w:rPr>
        <w:t>16</w:t>
      </w:r>
      <w:r>
        <w:rPr>
          <w:rFonts w:hint="eastAsia"/>
          <w:sz w:val="21"/>
          <w:szCs w:val="24"/>
        </w:rPr>
        <w:t>、合同资产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将拥有的、无条件（即，仅取决于时间流逝）向客户收取对价的权利作为应收款项列示，将已向客户转让商品而有权收取对价的权利，且该权利取决于时间流逝之外的其他因素作为合同资产列示。向客户销售两项可明确区分的商品，因已交付其中一项商品而有权收取款项，但收取该款项还取决于交付另一项商品的，本公司将该收款权利作为合同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本公司对于因销售商品、提供劳务等日常经营活动形成的合同资产，无论是否存在重大融资成分，均按照整个存续期的预期信用损失计量损失准备。本公司对合同资产的预期信用 损失的确定方法及会计处理方法详见三、（十）金融工具。</w:t>
      </w:r>
    </w:p>
    <w:p>
      <w:pPr>
        <w:pStyle w:val="7"/>
        <w:spacing w:beforeLines="0" w:afterLines="0"/>
        <w:outlineLvl w:val="2"/>
        <w:rPr>
          <w:rFonts w:hint="default"/>
          <w:sz w:val="21"/>
          <w:szCs w:val="24"/>
        </w:rPr>
      </w:pPr>
      <w:r>
        <w:rPr>
          <w:rFonts w:hint="default"/>
          <w:sz w:val="21"/>
          <w:szCs w:val="24"/>
        </w:rPr>
        <w:t>17</w:t>
      </w:r>
      <w:r>
        <w:rPr>
          <w:rFonts w:hint="eastAsia"/>
          <w:sz w:val="21"/>
          <w:szCs w:val="24"/>
        </w:rPr>
        <w:t>、合同成本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1、合同履约成本，是指本公司为履行合同发生的成本，该成本不属于收入准则以外的其他准则规范范围且同时满足下列条件：</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（1）该成本与一份当前或预期取得的合同直接相关，包括直接人工、直接材料、制造费用（或类似费用）、明确由客户承担的成本以及仅因该合同而发生的其他成本；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（2）该成本增加了本公司未来用于履行履约义务的资源；</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（3）该成本预期能够收回。</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本公司的下列支出于发生时，计入当期损益：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（1）管理费用。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（2）非正常消耗的直接材料、直接人工和制造费用（或类似费用），这些支出为履行合同发生，但未反映在合同价格中。</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（3）与履约义务中已履行部分相关的支出。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（4）无法在尚未履行的与已履行的履约义务之间区分的相关支出。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本公司为取得合同发生的增量成本预期能够收回的，作为合同取得成本确认为一项资产；如该资产摊销期限不超过一年的，在发生时计入当期损益。增量成本，是指本公司不取得合同就不会发生的成本（如销售佣金等）。本公司为取得合同发生的、除预期能够收回的增量成本之外的其他支出（如无论是否取得合同均会发生的差旅费等），在发生时计入当期损益，但是，明确由客户承担的除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3、本公司与合同成本有关的资产，应当采用与该资产相关的商品收入确认相同的基础进行摊销，计入当期损益。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4、本公司与合同成本有关的资产，其账面价值高于下列两项的差额的，超出部分计提减值准备，并确认为资产减值损失：</w:t>
      </w:r>
    </w:p>
    <w:p>
      <w:pPr>
        <w:autoSpaceDE w:val="0"/>
        <w:autoSpaceDN w:val="0"/>
        <w:adjustRightInd w:val="0"/>
        <w:spacing w:before="0" w:beforeLines="0" w:after="0" w:afterLines="0"/>
        <w:ind w:firstLine="436"/>
        <w:rPr>
          <w:rFonts w:hint="default"/>
          <w:sz w:val="21"/>
          <w:szCs w:val="24"/>
          <w:lang w:val="zh-CN"/>
        </w:rPr>
      </w:pPr>
      <w:r>
        <w:rPr>
          <w:rFonts w:hint="eastAsia" w:ascii="宋体"/>
          <w:sz w:val="21"/>
          <w:szCs w:val="24"/>
          <w:lang w:val="zh-CN"/>
        </w:rPr>
        <w:t>（</w:t>
      </w:r>
      <w:r>
        <w:rPr>
          <w:rFonts w:hint="default"/>
          <w:sz w:val="21"/>
          <w:szCs w:val="24"/>
          <w:lang w:val="zh-CN"/>
        </w:rPr>
        <w:t>1</w:t>
      </w:r>
      <w:r>
        <w:rPr>
          <w:rFonts w:hint="eastAsia" w:ascii="宋体"/>
          <w:sz w:val="21"/>
          <w:szCs w:val="24"/>
          <w:lang w:val="zh-CN"/>
        </w:rPr>
        <w:t>）本公司因转让与该资产相关的商品预期能够取得的剩余对价；</w:t>
      </w:r>
    </w:p>
    <w:p>
      <w:pPr>
        <w:autoSpaceDE w:val="0"/>
        <w:autoSpaceDN w:val="0"/>
        <w:adjustRightInd w:val="0"/>
        <w:spacing w:before="0" w:beforeLines="0" w:after="0" w:afterLines="0"/>
        <w:ind w:firstLine="436"/>
        <w:rPr>
          <w:rFonts w:hint="default"/>
          <w:sz w:val="21"/>
          <w:szCs w:val="24"/>
          <w:lang w:val="zh-CN"/>
        </w:rPr>
      </w:pPr>
      <w:r>
        <w:rPr>
          <w:rFonts w:hint="eastAsia" w:ascii="宋体"/>
          <w:sz w:val="21"/>
          <w:szCs w:val="24"/>
          <w:lang w:val="zh-CN"/>
        </w:rPr>
        <w:t>（</w:t>
      </w:r>
      <w:r>
        <w:rPr>
          <w:rFonts w:hint="default"/>
          <w:sz w:val="21"/>
          <w:szCs w:val="24"/>
          <w:lang w:val="zh-CN"/>
        </w:rPr>
        <w:t>2</w:t>
      </w:r>
      <w:r>
        <w:rPr>
          <w:rFonts w:hint="eastAsia" w:ascii="宋体"/>
          <w:sz w:val="21"/>
          <w:szCs w:val="24"/>
          <w:lang w:val="zh-CN"/>
        </w:rPr>
        <w:t>）为转让该相关商品估计将要发生的成本。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以前期间减值的因素之后发生变化，使得上述1)减2)的差额高于该资产账面价值的，本公司转回原已计提的资产减值准备，并计入当期损益，但转回后的资产账面价值不超过假定不计提减值准备情况下该资产在转回日的账面价值。</w:t>
      </w:r>
    </w:p>
    <w:p>
      <w:pPr>
        <w:pStyle w:val="7"/>
        <w:spacing w:beforeLines="0" w:afterLines="0"/>
        <w:outlineLvl w:val="2"/>
        <w:rPr>
          <w:rFonts w:hint="default"/>
          <w:sz w:val="21"/>
          <w:szCs w:val="24"/>
        </w:rPr>
      </w:pPr>
      <w:r>
        <w:rPr>
          <w:rFonts w:hint="default"/>
          <w:sz w:val="21"/>
          <w:szCs w:val="24"/>
        </w:rPr>
        <w:t>18</w:t>
      </w:r>
      <w:r>
        <w:rPr>
          <w:rFonts w:hint="eastAsia"/>
          <w:sz w:val="21"/>
          <w:szCs w:val="24"/>
        </w:rPr>
        <w:t>、持有待售资产</w:t>
      </w:r>
    </w:p>
    <w:p>
      <w:pPr>
        <w:autoSpaceDE w:val="0"/>
        <w:autoSpaceDN w:val="0"/>
        <w:adjustRightInd w:val="0"/>
        <w:spacing w:before="0" w:beforeLines="0" w:after="0" w:afterLines="0"/>
        <w:ind w:firstLine="436"/>
        <w:jc w:val="left"/>
        <w:rPr>
          <w:rFonts w:hint="eastAsia" w:ascii="宋体"/>
          <w:b/>
          <w:sz w:val="21"/>
          <w:szCs w:val="24"/>
          <w:lang w:val="zh-CN"/>
        </w:rPr>
      </w:pPr>
      <w:r>
        <w:rPr>
          <w:rFonts w:hint="eastAsia" w:ascii="宋体"/>
          <w:b/>
          <w:sz w:val="21"/>
          <w:szCs w:val="24"/>
          <w:lang w:val="zh-CN"/>
        </w:rPr>
        <w:t>1、持有待售的非流动资产或处置组的分类与计量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本公司主要通过出售（包括具有商业实质的非货币性资产交换）而非持续使用一项非流动资产或处置组收回其账面价值时，该非流动资产或处置组被划分为持有待售类别。</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处置组，是指在一项交易中作为整体通过出售或其他方式一并处置的一组资产，以及在该交易中转让的与这些资产直接相关的负债。处置组所属的资产组或资产组组合按照《企业会计准则第8号</w:t>
      </w:r>
      <w:r>
        <w:rPr>
          <w:rFonts w:hint="default"/>
          <w:sz w:val="21"/>
          <w:szCs w:val="24"/>
          <w:lang w:val="zh-CN"/>
        </w:rPr>
        <w:t>——</w:t>
      </w:r>
      <w:r>
        <w:rPr>
          <w:rFonts w:hint="eastAsia" w:ascii="宋体"/>
          <w:sz w:val="21"/>
          <w:szCs w:val="24"/>
          <w:lang w:val="zh-CN"/>
        </w:rPr>
        <w:t>资产减值》分摊了企业合并中取得的商誉的，该处置组应当包含分摊至处置组的商誉。</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同时满足下列条件的非流动资产或处置组被划分为持有待售类别：根据类似交易中出售此类资产或处置组的惯例，该非流动资产或处置组在当前状况下即可立即出售；出售极可能发生，即已经就一项出售计划作出决议且获得确定的购买承诺，预计出售将在一年内完成。</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因出售对子公司的投资等原因导致丧失对子公司控制权的，无论出售后本公司是否保留部分权益性投资，在拟出售的对子公司投资满足持有待售类别划分条件时，在个别财务报表中将对子公司投资整体划分为持有待售类别，在合并财务报表中将子公司所有资产和负债划分为持有待售类别。</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初始计量或在资产负债表日重新计量持有待售的非流动资产或处置组时，账面价值高于公允价值减去出售费用后净额的差额确认为资产减值损失。对于持有待售的处置组确认的资产减值损失金额，先抵减处置组中商誉的账面价值，再根据处置组中的各项非流动资产账面价值所占比重，按比例抵减其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后续资产负债表日持有待售的非流动资产或处置组公允价值减去出售费用后的净额增加的，以前减记的金额予以恢复，并在划分为持有待售类别后确认的资产减值损失金额内转回，转回金额计入当期损益。已抵减的商誉账面价值和划分为持有待售类别前确认的资产减值损失不得转回。</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持有待售的非流动资产和持有待售的处置组中的资产不计提折旧或进行摊销；持有待售的处置组中负债的利息和其他费用继续予以确认。</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某项非流动资产或处置组被划分为持有待售类别，但后来不再满足持有待售类别划分条件的，本公司停止将其划分为持有待售类别，并按照下列两项金额中较低者计量：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①该资产或处置组被划分为持有待售类别之前的账面价值，按照其假定在没有被划分为持有待售类别的情况下本应确认的折旧、摊销或减值进行调整后的金额；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②可收回金额。</w:t>
      </w:r>
    </w:p>
    <w:p>
      <w:pPr>
        <w:autoSpaceDE w:val="0"/>
        <w:autoSpaceDN w:val="0"/>
        <w:adjustRightInd w:val="0"/>
        <w:spacing w:before="0" w:beforeLines="0" w:after="0" w:afterLines="0"/>
        <w:ind w:firstLine="436"/>
        <w:jc w:val="left"/>
        <w:rPr>
          <w:rFonts w:hint="eastAsia" w:ascii="宋体"/>
          <w:b/>
          <w:sz w:val="21"/>
          <w:szCs w:val="24"/>
          <w:lang w:val="zh-CN"/>
        </w:rPr>
      </w:pPr>
      <w:r>
        <w:rPr>
          <w:rFonts w:hint="eastAsia" w:ascii="宋体"/>
          <w:b/>
          <w:sz w:val="21"/>
          <w:szCs w:val="24"/>
          <w:lang w:val="zh-CN"/>
        </w:rPr>
        <w:t>2、终止经营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终止经营，是指满足下列条件之一的已被本公司处置或被本公司划分为持有待售类别的、能够单独区分的组成部分：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①该组成部分代表一项独立的主要业务或一个单独的主要经营地区。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②该组成部分是拟对一项独立的主要业务或一个单独的主要经营地区进行处置的一项相关联计划的一部分。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③该组成部分是专为转售而取得的子公司。</w:t>
      </w:r>
    </w:p>
    <w:p>
      <w:pPr>
        <w:autoSpaceDE w:val="0"/>
        <w:autoSpaceDN w:val="0"/>
        <w:adjustRightInd w:val="0"/>
        <w:spacing w:before="0" w:beforeLines="0" w:after="0" w:afterLines="0"/>
        <w:ind w:firstLine="436"/>
        <w:jc w:val="left"/>
        <w:rPr>
          <w:rFonts w:hint="eastAsia" w:ascii="宋体"/>
          <w:b/>
          <w:sz w:val="21"/>
          <w:szCs w:val="24"/>
          <w:lang w:val="zh-CN"/>
        </w:rPr>
      </w:pPr>
      <w:r>
        <w:rPr>
          <w:rFonts w:hint="eastAsia" w:ascii="宋体"/>
          <w:b/>
          <w:sz w:val="21"/>
          <w:szCs w:val="24"/>
          <w:lang w:val="zh-CN"/>
        </w:rPr>
        <w:t>3、列报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本公司在资产负债表中将持有待售的非流动资产或持有待售的处置组中的资产列报于“持有待售资产”，将持有待售的处置组中的负债列报于“持有待售负债”。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在利润表中分别列示持续经营损益和终止经营损益。不符合终止经营定义的持有待售的非流动资产或处置组，其减值损失和转回金额及处置损益作为持续经营损益列报。终止经营的减值损失和转回金额等经营损益及处置损益作为终止经营损益列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拟结束使用而非出售且满足终止经营定义中有关组成部分的条件的处置组，自其停止使用日起作为终止经营列报。</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当期列报的终止经营，在当期财务报表中，原来作为持续经营损益列报的信息被重新作为可比会计期间的终止经营损益列报。终止经营不再满足持有待售类别划分条件的，在当期财务报表中，原来作为终止经营损益列报的信息被重新作为可比会计期间的持续经营损益列报。</w:t>
      </w:r>
    </w:p>
    <w:p>
      <w:pPr>
        <w:pStyle w:val="7"/>
        <w:spacing w:beforeLines="0" w:afterLines="0"/>
        <w:outlineLvl w:val="2"/>
        <w:rPr>
          <w:rFonts w:hint="default"/>
          <w:sz w:val="21"/>
          <w:szCs w:val="24"/>
        </w:rPr>
      </w:pPr>
      <w:r>
        <w:rPr>
          <w:rFonts w:hint="default"/>
          <w:sz w:val="21"/>
          <w:szCs w:val="24"/>
        </w:rPr>
        <w:t>19</w:t>
      </w:r>
      <w:r>
        <w:rPr>
          <w:rFonts w:hint="eastAsia"/>
          <w:sz w:val="21"/>
          <w:szCs w:val="24"/>
        </w:rPr>
        <w:t>、债权投资</w:t>
      </w:r>
    </w:p>
    <w:p>
      <w:pPr>
        <w:pStyle w:val="7"/>
        <w:spacing w:beforeLines="0" w:afterLines="0"/>
        <w:outlineLvl w:val="2"/>
        <w:rPr>
          <w:rFonts w:hint="default"/>
          <w:sz w:val="21"/>
          <w:szCs w:val="24"/>
        </w:rPr>
      </w:pPr>
      <w:r>
        <w:rPr>
          <w:rFonts w:hint="default"/>
          <w:sz w:val="21"/>
          <w:szCs w:val="24"/>
        </w:rPr>
        <w:t>20</w:t>
      </w:r>
      <w:r>
        <w:rPr>
          <w:rFonts w:hint="eastAsia"/>
          <w:sz w:val="21"/>
          <w:szCs w:val="24"/>
        </w:rPr>
        <w:t>、其他债权投资</w:t>
      </w:r>
    </w:p>
    <w:p>
      <w:pPr>
        <w:pStyle w:val="7"/>
        <w:spacing w:beforeLines="0" w:afterLines="0"/>
        <w:outlineLvl w:val="2"/>
        <w:rPr>
          <w:rFonts w:hint="default"/>
          <w:sz w:val="21"/>
          <w:szCs w:val="24"/>
        </w:rPr>
      </w:pPr>
      <w:r>
        <w:rPr>
          <w:rFonts w:hint="default"/>
          <w:sz w:val="21"/>
          <w:szCs w:val="24"/>
        </w:rPr>
        <w:t>21</w:t>
      </w:r>
      <w:r>
        <w:rPr>
          <w:rFonts w:hint="eastAsia"/>
          <w:sz w:val="21"/>
          <w:szCs w:val="24"/>
        </w:rPr>
        <w:t>、长期应收款</w:t>
      </w:r>
    </w:p>
    <w:p>
      <w:pPr>
        <w:pStyle w:val="7"/>
        <w:spacing w:beforeLines="0" w:afterLines="0"/>
        <w:outlineLvl w:val="2"/>
        <w:rPr>
          <w:rFonts w:hint="default"/>
          <w:sz w:val="21"/>
          <w:szCs w:val="24"/>
        </w:rPr>
      </w:pPr>
      <w:r>
        <w:rPr>
          <w:rFonts w:hint="default"/>
          <w:sz w:val="21"/>
          <w:szCs w:val="24"/>
        </w:rPr>
        <w:t>22</w:t>
      </w:r>
      <w:r>
        <w:rPr>
          <w:rFonts w:hint="eastAsia"/>
          <w:sz w:val="21"/>
          <w:szCs w:val="24"/>
        </w:rPr>
        <w:t>、长期股权投资</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长期股权投资是指本公司对被投资单位具有控制、共同控制或重大影响的长期股权投资。</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1、初始投资成本确定</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对于企业合并取得的长期股权投资，如为同一控制下的企业合并，应当按照取得被合并方所有者权益账面价值的份额确认为初始成本；非同一控制下的企业合并，应当按购买日确定的合并成本确认为初始成本；</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2）除企业合并形成的长期股权投资外的其他股权投资，以支付现金取得的长期股权投资，初始投资成本为实际支付的购买价款；以发行权益性证券取得的长期股权投资，初始投资成本为发行权益性证券的公允价值；通过债务重组取得的长期股权投资，其初始投资成本应当按照《企业会计准则第12号</w:t>
      </w:r>
      <w:r>
        <w:rPr>
          <w:rFonts w:hint="default"/>
          <w:sz w:val="21"/>
          <w:szCs w:val="24"/>
          <w:lang w:val="zh-CN"/>
        </w:rPr>
        <w:t>——</w:t>
      </w:r>
      <w:r>
        <w:rPr>
          <w:rFonts w:hint="eastAsia" w:ascii="宋体"/>
          <w:sz w:val="21"/>
          <w:szCs w:val="24"/>
          <w:lang w:val="zh-CN"/>
        </w:rPr>
        <w:t>债务重组》的有关规定确定；非货币性资产交换取得，初始投资成本根据准则相关规定确定。</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2、后续计量及损益确认方法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（1）成本法核算</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投资方能够对被投资单位实施控制的长期股权投资应当采用成本法核算。采用成本法核算的长期股权投资，除追加或收回投资外，账面价值一般不变。当宣告分派的利润或现金股利计算应分得的部分，确认投资收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（2）权益法核算</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 xml:space="preserve">本公司对联营企业和合营企业的长期股权投资采用权益法核算。采用权益法核算时，长期股权投资的初始投资成本大于投资时应享有被投资单位可辨认净资产公允价值份额的，不调整长期股权投资的初始投资成本；初始投资成本小于投资时应享有被投资单位可辨认净资产公允价值份额的，其差额计入当期损益，同时调整长期股权投资的成本。 </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 xml:space="preserve">采用权益法核算时，本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调整长期股权投资的账面价值并计入资本公积。本公司在确认应享有被投资单位净损益的份额时，以取得投资时被投资单位各项可辨认资产等的公允价值为基础，对被投资单位的净利润进行调整后确认。被投资单位采用的会计政策及会计期间与本公司不一致的，按照本公司的会计政策及会计期间对被投资单位的财务报表进行调整，并据以确认投资收益和其他综合收益。        </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在确认应分担被投资单位发生的净亏损时，以长期股权投资的账面价值和其他实质上构成对被投资单位净投资的长期权益减记至零为限。此外，如本公司对被投资单位负有承担额外损失的义务，则按预计承担的义务确认预计负债，计入当期投资损失。被投资单位以后期间实现净利润的，本公司在收益分享额弥补未确认的亏损分担额后，恢复确认收益分享额。</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3、长期股权投资核算方法的转换</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1）公允价值计量转权益法核算：原持有的对被投资单位的股权投资（不具有控制、共同控制或重大影响的），按照金融工具确认和计量准则进行会计处理的，因追加投资等原因导致持股比例上升，能够对被投资单位施加共同控制或重大影响的，在转按权益法核算时，投资方应当按照金融工具确认和计量准则确定的原股权投资的公允价值加上为取得新增投资而应支付对价的公允价值，作为改按权益法核算的初始投资成本。</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2）公允价值计量或权益法核算转成本法核算：投资方原持有的对被投资单位不具有控制、共同控制或重大影响的按照金融工具确认和计量准则进行会计处理的权益性投资，或者原持有对联营企业、合营企业的长期股权投资，因追加投资等原因，能够对被投资单位实施控制的，按有关企业合并形成的长期股权投资进行会计处理。</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3）权益法核算转公允价值计量：原持有的对被投资单位具有共同控制或重大影响的长期股权投资，因部分处置等原因导致持股比例下降，不能再对被投资单位实施共同控制或重大影响的，应改按金融工具确认和计量准则对剩余股权投资进行会计处理，其在丧失共同控制或重大影响之目的公允价值与账面价值之间的差额计入当期损益。</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4）成本法转权益法或公允价值计量：因处置部分权益性投资等原因丧失了对被投资单位的控制的，在编制个别财务报表时，处置后的剩余股权能够对被投资单位实施共同控制或施加重大影响的，改按权益法核算，并对该剩余股权视同自取得时即采用权益法核算进行调整；处置后的剩余股权不能对被投资单位实施共同控制或施加重大影响的，改按《企业会计准则第22号</w:t>
      </w:r>
      <w:r>
        <w:rPr>
          <w:rFonts w:hint="default"/>
          <w:sz w:val="21"/>
          <w:szCs w:val="24"/>
          <w:lang w:val="zh-CN"/>
        </w:rPr>
        <w:t>——</w:t>
      </w:r>
      <w:r>
        <w:rPr>
          <w:rFonts w:hint="eastAsia" w:ascii="宋体"/>
          <w:sz w:val="21"/>
          <w:szCs w:val="24"/>
          <w:lang w:val="zh-CN"/>
        </w:rPr>
        <w:t>金融工具确认和计量》的有关规定进行会计处理，其在丧失控制之日的公允价值与账面价值间的差额计入当期损益。在编制合并财务报表时，应当按照《企业会计准则第33号</w:t>
      </w:r>
      <w:r>
        <w:rPr>
          <w:rFonts w:hint="default"/>
          <w:sz w:val="21"/>
          <w:szCs w:val="24"/>
          <w:lang w:val="zh-CN"/>
        </w:rPr>
        <w:t>——</w:t>
      </w:r>
      <w:r>
        <w:rPr>
          <w:rFonts w:hint="eastAsia" w:ascii="宋体"/>
          <w:sz w:val="21"/>
          <w:szCs w:val="24"/>
          <w:lang w:val="zh-CN"/>
        </w:rPr>
        <w:t>合并财务报表》的有关规定进行会计处理。</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4、确定对被投资单位具有共同控制、重大影响的依据</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共同控制，是指按照相关约定对某项安排所共有的控制，并且该安排的相关活动必须经过分享控制权的参与方一致同意后才能决策。如果所有参与方或一组参与方必须一致行动才能决定某项安排的相关活动，则认为所有参与方或一组参与方集体控制该安排。在判断是否存在共同控制时，首先判断是否由所有参与方或参与方组合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重大影响，是指投资方对被投资单位的财务和经营政策有参与决策的权力，但并不能够控制或者与其他方一起共同控制这些政策的制定。本公司在确定能否对被投资单位施加重大影响时，考虑直接或间接持有被投资单位的表决权股份以及本公司及其他方持有的当期可执行潜在表决权在假定转换为对被投资方单位的股权后产生的影响，包括被投资单位发行的当期可转换的认股权证、股份期权及可转换公司债券等的影响。</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本公司直接或通过子公司间接拥有被投资单位20%（含20%）以上但低于50%的表决权股份时，一般认为对被投资单位具有重大影响，除非有明确证据表明该种情况下不能参与被投资单位的生产经营决策，不形成重大影响。</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本公司通常通过以下一种或几种情形来判断是否对被投资单位具有重大影响：</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①在被投资单位的董事会或类似权力机构中派有代表。</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②参与被投资单位财务和经营政策制定过程。</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③与被投资单位之间发生重要交易。</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④向被投资单位派出管理人员。</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⑤向被投资单位提供关键技术资料。</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存在上述一种或多种情形并不意味着本公司一定对被投资单位具有重大影响，本公司需要综合考虑所有事实和情况来做出恰当的判断。</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5、减值测试方法及减值准备计提方法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资产负债表日，本公司对长期股权投资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可收回金额按照长期股权投资出售的公允价值净额与预计未来现金流量的现值之间孰高确定。</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6、长期股权投资处置</w:t>
      </w:r>
    </w:p>
    <w:p>
      <w:pPr>
        <w:autoSpaceDE w:val="0"/>
        <w:autoSpaceDN w:val="0"/>
        <w:adjustRightInd w:val="0"/>
        <w:spacing w:before="0" w:beforeLines="0" w:after="0" w:afterLines="0"/>
        <w:ind w:firstLine="459"/>
        <w:rPr>
          <w:rFonts w:hint="eastAsia" w:ascii="宋体"/>
          <w:sz w:val="21"/>
          <w:szCs w:val="24"/>
          <w:lang w:val="zh-CN"/>
        </w:rPr>
      </w:pPr>
      <w:r>
        <w:rPr>
          <w:rFonts w:hint="eastAsia" w:ascii="宋体"/>
          <w:sz w:val="21"/>
          <w:szCs w:val="24"/>
          <w:lang w:val="zh-CN"/>
        </w:rPr>
        <w:t>处置长期股权投资时，其账面价值与实际取得价款之间的差额，应当计入当期损益。采用权益法核算的长期股权投资，在处置该项投资时，采用与被投资单位直接处置相关资产或负债相同的基础，按相应比例对原计入其他综合收益的部分进行会计处理。</w:t>
      </w:r>
    </w:p>
    <w:p>
      <w:pPr>
        <w:pStyle w:val="7"/>
        <w:spacing w:beforeLines="0" w:afterLines="0"/>
        <w:outlineLvl w:val="2"/>
        <w:rPr>
          <w:rFonts w:hint="default"/>
          <w:sz w:val="21"/>
          <w:szCs w:val="24"/>
        </w:rPr>
      </w:pPr>
      <w:r>
        <w:rPr>
          <w:rFonts w:hint="default"/>
          <w:sz w:val="21"/>
          <w:szCs w:val="24"/>
        </w:rPr>
        <w:t>23</w:t>
      </w:r>
      <w:r>
        <w:rPr>
          <w:rFonts w:hint="eastAsia"/>
          <w:sz w:val="21"/>
          <w:szCs w:val="24"/>
        </w:rPr>
        <w:t>、投资性房地产</w:t>
      </w:r>
    </w:p>
    <w:p>
      <w:pPr>
        <w:spacing w:beforeLines="0" w:afterLines="0"/>
        <w:jc w:val="left"/>
        <w:rPr>
          <w:rFonts w:hint="default"/>
          <w:sz w:val="18"/>
          <w:szCs w:val="24"/>
        </w:rPr>
      </w:pPr>
      <w:r>
        <w:rPr>
          <w:rFonts w:hint="eastAsia"/>
          <w:sz w:val="18"/>
          <w:szCs w:val="24"/>
        </w:rPr>
        <w:t>投资性房地产计量模式</w:t>
      </w:r>
    </w:p>
    <w:p>
      <w:pPr>
        <w:spacing w:beforeLines="0" w:afterLines="0"/>
        <w:jc w:val="left"/>
        <w:rPr>
          <w:rFonts w:hint="default"/>
          <w:sz w:val="18"/>
          <w:szCs w:val="24"/>
        </w:rPr>
      </w:pPr>
      <w:r>
        <w:rPr>
          <w:rFonts w:hint="eastAsia"/>
          <w:sz w:val="18"/>
          <w:szCs w:val="24"/>
        </w:rPr>
        <w:t>成本法计量</w:t>
      </w:r>
    </w:p>
    <w:p>
      <w:pPr>
        <w:spacing w:beforeLines="0" w:afterLines="0"/>
        <w:jc w:val="left"/>
        <w:rPr>
          <w:rFonts w:hint="default"/>
          <w:sz w:val="18"/>
          <w:szCs w:val="24"/>
        </w:rPr>
      </w:pPr>
      <w:r>
        <w:rPr>
          <w:rFonts w:hint="eastAsia"/>
          <w:sz w:val="18"/>
          <w:szCs w:val="24"/>
        </w:rPr>
        <w:t>折旧或摊销方法</w:t>
      </w:r>
    </w:p>
    <w:p>
      <w:pPr>
        <w:autoSpaceDE w:val="0"/>
        <w:autoSpaceDN w:val="0"/>
        <w:adjustRightInd w:val="0"/>
        <w:spacing w:before="0" w:beforeLines="0" w:after="0" w:afterLines="0"/>
        <w:ind w:firstLine="422"/>
        <w:rPr>
          <w:rFonts w:hint="eastAsia" w:ascii="宋体"/>
          <w:b/>
          <w:sz w:val="21"/>
          <w:szCs w:val="24"/>
          <w:lang w:val="zh-CN"/>
        </w:rPr>
      </w:pPr>
      <w:r>
        <w:rPr>
          <w:rFonts w:hint="eastAsia" w:ascii="宋体"/>
          <w:b/>
          <w:sz w:val="21"/>
          <w:szCs w:val="24"/>
          <w:lang w:val="zh-CN"/>
        </w:rPr>
        <w:t>1、投资性房地产的种类和计量模式</w:t>
      </w:r>
    </w:p>
    <w:p>
      <w:pPr>
        <w:autoSpaceDE w:val="0"/>
        <w:autoSpaceDN w:val="0"/>
        <w:adjustRightInd w:val="0"/>
        <w:spacing w:before="0" w:beforeLines="0" w:after="0" w:afterLines="0"/>
        <w:ind w:firstLine="422"/>
        <w:rPr>
          <w:rFonts w:hint="eastAsia" w:ascii="宋体"/>
          <w:sz w:val="21"/>
          <w:szCs w:val="24"/>
          <w:lang w:val="zh-CN"/>
        </w:rPr>
      </w:pPr>
      <w:r>
        <w:rPr>
          <w:rFonts w:hint="eastAsia" w:ascii="宋体"/>
          <w:sz w:val="21"/>
          <w:szCs w:val="24"/>
          <w:lang w:val="zh-CN"/>
        </w:rPr>
        <w:t>本公司投资性房地产的种类：出租的土地使用权、出租的建筑物、持有并准备增值后转让的土地使用权。</w:t>
      </w:r>
    </w:p>
    <w:p>
      <w:pPr>
        <w:autoSpaceDE w:val="0"/>
        <w:autoSpaceDN w:val="0"/>
        <w:adjustRightInd w:val="0"/>
        <w:spacing w:before="0" w:beforeLines="0" w:after="0" w:afterLines="0"/>
        <w:ind w:firstLine="422"/>
        <w:rPr>
          <w:rFonts w:hint="eastAsia" w:ascii="宋体"/>
          <w:sz w:val="21"/>
          <w:szCs w:val="24"/>
          <w:lang w:val="zh-CN"/>
        </w:rPr>
      </w:pPr>
      <w:r>
        <w:rPr>
          <w:rFonts w:hint="eastAsia" w:ascii="宋体"/>
          <w:sz w:val="21"/>
          <w:szCs w:val="24"/>
          <w:lang w:val="zh-CN"/>
        </w:rPr>
        <w:t>本公司投资性房地产按照成本进行初始计量，采用成本模式进行后续计量。</w:t>
      </w:r>
    </w:p>
    <w:p>
      <w:pPr>
        <w:autoSpaceDE w:val="0"/>
        <w:autoSpaceDN w:val="0"/>
        <w:adjustRightInd w:val="0"/>
        <w:spacing w:before="0" w:beforeLines="0" w:after="0" w:afterLines="0"/>
        <w:ind w:firstLine="422"/>
        <w:rPr>
          <w:rFonts w:hint="eastAsia" w:ascii="宋体"/>
          <w:b/>
          <w:sz w:val="21"/>
          <w:szCs w:val="24"/>
          <w:lang w:val="zh-CN"/>
        </w:rPr>
      </w:pPr>
      <w:r>
        <w:rPr>
          <w:rFonts w:hint="eastAsia" w:ascii="宋体"/>
          <w:b/>
          <w:sz w:val="21"/>
          <w:szCs w:val="24"/>
          <w:lang w:val="zh-CN"/>
        </w:rPr>
        <w:t>2、采用成本模式核算政策</w:t>
      </w:r>
    </w:p>
    <w:p>
      <w:pPr>
        <w:autoSpaceDE w:val="0"/>
        <w:autoSpaceDN w:val="0"/>
        <w:adjustRightInd w:val="0"/>
        <w:spacing w:before="0" w:beforeLines="0" w:after="0" w:afterLines="0"/>
        <w:ind w:firstLine="422"/>
        <w:rPr>
          <w:rFonts w:hint="eastAsia" w:ascii="宋体"/>
          <w:sz w:val="21"/>
          <w:szCs w:val="24"/>
          <w:lang w:val="zh-CN"/>
        </w:rPr>
      </w:pPr>
      <w:r>
        <w:rPr>
          <w:rFonts w:hint="eastAsia" w:ascii="宋体"/>
          <w:sz w:val="21"/>
          <w:szCs w:val="24"/>
          <w:lang w:val="zh-CN"/>
        </w:rPr>
        <w:t>本公司投资性房地产中出租的建筑物采用年限平均法计提折旧，具体核算政策与固定资产部分相同。投资性房地产中出租的土地使用权、持有并准备增值后转让的土地使用权采用直线法摊销，具体核算政策与无形资产部分相同。</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资产负债表日，本公司对投资性房地产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sz w:val="21"/>
          <w:szCs w:val="24"/>
          <w:lang w:val="zh-CN"/>
        </w:rPr>
        <w:t>本公司对于投资性房地产出售、转让、报废或毁损的处置收入扣除其账面价值和相关税费后的差额计入当期损益。本公司在有证据表明将自用的房屋及建筑物改用于出租或将持有的房地产开发产品以经营租赁的方式出租时，固定资产、无形资产或存货以转换前的账面价值转换为投资性房地产。本公司在有证据表明将原本用于赚取租金或资本增值的房屋及建筑物改为自用或将用于经营租出的房屋及建筑物重新用于对外销售的，投资性房地产以转换前的账面价值转换为固定资产、无形资产或存货。</w:t>
      </w:r>
    </w:p>
    <w:p>
      <w:pPr>
        <w:pStyle w:val="7"/>
        <w:spacing w:beforeLines="0" w:afterLines="0"/>
        <w:outlineLvl w:val="2"/>
        <w:rPr>
          <w:rFonts w:hint="default"/>
          <w:sz w:val="21"/>
          <w:szCs w:val="24"/>
        </w:rPr>
      </w:pPr>
      <w:r>
        <w:rPr>
          <w:rFonts w:hint="default"/>
          <w:sz w:val="21"/>
          <w:szCs w:val="24"/>
        </w:rPr>
        <w:t>24</w:t>
      </w:r>
      <w:r>
        <w:rPr>
          <w:rFonts w:hint="eastAsia"/>
          <w:sz w:val="21"/>
          <w:szCs w:val="24"/>
        </w:rPr>
        <w:t>、固定资产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）确认条件</w:t>
      </w:r>
    </w:p>
    <w:p>
      <w:pPr>
        <w:spacing w:beforeLines="0" w:afterLines="0"/>
        <w:jc w:val="left"/>
        <w:rPr>
          <w:rFonts w:hint="default"/>
          <w:sz w:val="18"/>
          <w:szCs w:val="24"/>
        </w:rPr>
      </w:pPr>
      <w:r>
        <w:rPr>
          <w:rFonts w:hint="eastAsia"/>
          <w:sz w:val="18"/>
          <w:szCs w:val="24"/>
        </w:rPr>
        <w:t>公司的固定资产是指为生产商品、提供劳务、出租或经营管理而持有且使用寿命超过一个会计年度的有形资产。同时满足下列条件的，确认为固定资产：</w:t>
      </w:r>
    </w:p>
    <w:p>
      <w:pPr>
        <w:spacing w:beforeLines="0" w:afterLines="0"/>
        <w:jc w:val="left"/>
        <w:rPr>
          <w:rFonts w:hint="default"/>
          <w:sz w:val="18"/>
          <w:szCs w:val="24"/>
        </w:rPr>
      </w:pPr>
      <w:r>
        <w:rPr>
          <w:rFonts w:hint="eastAsia"/>
          <w:sz w:val="18"/>
          <w:szCs w:val="24"/>
        </w:rPr>
        <w:t>（</w:t>
      </w:r>
      <w:r>
        <w:rPr>
          <w:rFonts w:hint="default"/>
          <w:sz w:val="18"/>
          <w:szCs w:val="24"/>
        </w:rPr>
        <w:t>1</w:t>
      </w:r>
      <w:r>
        <w:rPr>
          <w:rFonts w:hint="eastAsia"/>
          <w:sz w:val="18"/>
          <w:szCs w:val="24"/>
        </w:rPr>
        <w:t>）与该固定资产有关的经济利益很可能流入企业；</w:t>
      </w:r>
    </w:p>
    <w:p>
      <w:pPr>
        <w:spacing w:beforeLines="0" w:afterLines="0"/>
        <w:jc w:val="left"/>
        <w:rPr>
          <w:rFonts w:hint="default"/>
          <w:sz w:val="18"/>
          <w:szCs w:val="24"/>
        </w:rPr>
      </w:pPr>
      <w:r>
        <w:rPr>
          <w:rFonts w:hint="eastAsia"/>
          <w:sz w:val="18"/>
          <w:szCs w:val="24"/>
        </w:rPr>
        <w:t>（</w:t>
      </w:r>
      <w:r>
        <w:rPr>
          <w:rFonts w:hint="default"/>
          <w:sz w:val="18"/>
          <w:szCs w:val="24"/>
        </w:rPr>
        <w:t>2</w:t>
      </w:r>
      <w:r>
        <w:rPr>
          <w:rFonts w:hint="eastAsia"/>
          <w:sz w:val="18"/>
          <w:szCs w:val="24"/>
        </w:rPr>
        <w:t>）该固定资产的成本能够可靠计量。</w:t>
      </w:r>
    </w:p>
    <w:p>
      <w:pPr>
        <w:spacing w:beforeLines="0" w:afterLines="0"/>
        <w:jc w:val="left"/>
        <w:rPr>
          <w:rFonts w:hint="default"/>
          <w:sz w:val="18"/>
          <w:szCs w:val="24"/>
        </w:rPr>
      </w:pPr>
      <w:r>
        <w:rPr>
          <w:rFonts w:hint="eastAsia"/>
          <w:sz w:val="18"/>
          <w:szCs w:val="24"/>
        </w:rPr>
        <w:t>与固定资产有关的后续支出，符合上述确认条件的，计入固定资产成本，并终止确认被替换部分的账面价值；否则，在发生时计入当期损益。</w:t>
      </w:r>
    </w:p>
    <w:p>
      <w:pPr>
        <w:spacing w:beforeLines="0" w:afterLines="0"/>
        <w:jc w:val="left"/>
        <w:rPr>
          <w:rFonts w:hint="default"/>
          <w:sz w:val="18"/>
          <w:szCs w:val="24"/>
        </w:rPr>
      </w:pPr>
      <w:r>
        <w:rPr>
          <w:rFonts w:hint="eastAsia"/>
          <w:sz w:val="18"/>
          <w:szCs w:val="24"/>
        </w:rPr>
        <w:t>固定资产按照成本进行初始计量。固定资产的成本一般包括购买价款、相关税费、以及为使固定资产达到预定可使用状态前所发生的可直接归属于该资产的其他支出，如运输费、安装费等。但购买的固定资产如果超过正常的信用条件延期支付，固定资产的成本以各期付款额的现值之和为基础确定。实际支付的价款与购买价款的现值之间的差额，除按照《企业会计准则第</w:t>
      </w:r>
      <w:r>
        <w:rPr>
          <w:rFonts w:hint="default"/>
          <w:sz w:val="18"/>
          <w:szCs w:val="24"/>
        </w:rPr>
        <w:t xml:space="preserve"> 17 </w:t>
      </w:r>
      <w:r>
        <w:rPr>
          <w:rFonts w:hint="eastAsia"/>
          <w:sz w:val="18"/>
          <w:szCs w:val="24"/>
        </w:rPr>
        <w:t>号</w:t>
      </w:r>
      <w:r>
        <w:rPr>
          <w:rFonts w:hint="default"/>
          <w:sz w:val="18"/>
          <w:szCs w:val="24"/>
        </w:rPr>
        <w:t>——</w:t>
      </w:r>
      <w:r>
        <w:rPr>
          <w:rFonts w:hint="eastAsia"/>
          <w:sz w:val="18"/>
          <w:szCs w:val="24"/>
        </w:rPr>
        <w:t>借款费用》应予资本化的以外，在信用期内计入当期损益。</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）折旧方法</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折旧方法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折旧年限</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残值率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年折旧率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房屋及建筑物</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机器设备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w:t>
            </w:r>
            <w:r>
              <w:rPr>
                <w:rFonts w:hint="default"/>
                <w:sz w:val="18"/>
                <w:szCs w:val="24"/>
              </w:rPr>
              <w:t>15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6.33%—19.00%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运输工具</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19.00%—23.75%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电子设备及其他</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年限平均法</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3—5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19.00%—31.67%</w:t>
            </w:r>
          </w:p>
        </w:tc>
      </w:tr>
    </w:tbl>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固定资产主要分为：房屋及建筑物、机器设备、运输工具、电子设备等。采用年限平均法计提折旧，根据各类固定资产的性质和使用情况，确定固定资产的使用寿命和预计净残值。并在年度终了，对固定资产的使用寿命、预计净残值和折旧方法进行复核，如与原先估计数存在差异的，进行相应的调整。除已提足折旧仍继续使用的固定资产和单独计价入账的土地之外，本公司对所有固定资产计提折旧。</w:t>
      </w:r>
    </w:p>
    <w:p>
      <w:pPr>
        <w:tabs>
          <w:tab w:val="left" w:pos="782"/>
        </w:tabs>
        <w:autoSpaceDE w:val="0"/>
        <w:autoSpaceDN w:val="0"/>
        <w:adjustRightInd w:val="0"/>
        <w:spacing w:before="0" w:beforeLines="0" w:after="0" w:afterLines="0"/>
        <w:ind w:left="782" w:hanging="360"/>
        <w:rPr>
          <w:rFonts w:hint="eastAsia" w:ascii="宋体"/>
          <w:b/>
          <w:sz w:val="21"/>
          <w:szCs w:val="24"/>
          <w:lang w:val="zh-CN"/>
        </w:rPr>
      </w:pPr>
      <w:r>
        <w:rPr>
          <w:rFonts w:hint="eastAsia" w:ascii="宋体"/>
          <w:b/>
          <w:sz w:val="21"/>
          <w:szCs w:val="24"/>
          <w:lang w:val="zh-CN"/>
        </w:rPr>
        <w:t>固定资产的减值测试方法、减值准备计提方法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资产负债表日，本公司对固定资产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4、固定资产处置</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当固定资产处置时或预期通过使用或处置不能产生经济利益时，终止确认该固定资产。固定资产出售、转让、报废或毁损的处置收入扣除其账面价值和相关税费后的差额计入当期损益。</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）融资租入固定资产的认定依据、计价和折旧方法</w:t>
      </w:r>
    </w:p>
    <w:p>
      <w:pPr>
        <w:pStyle w:val="7"/>
        <w:spacing w:beforeLines="0" w:afterLines="0"/>
        <w:outlineLvl w:val="2"/>
        <w:rPr>
          <w:rFonts w:hint="default"/>
          <w:sz w:val="21"/>
          <w:szCs w:val="24"/>
        </w:rPr>
      </w:pPr>
      <w:r>
        <w:rPr>
          <w:rFonts w:hint="default"/>
          <w:sz w:val="21"/>
          <w:szCs w:val="24"/>
        </w:rPr>
        <w:t>25</w:t>
      </w:r>
      <w:r>
        <w:rPr>
          <w:rFonts w:hint="eastAsia"/>
          <w:sz w:val="21"/>
          <w:szCs w:val="24"/>
        </w:rPr>
        <w:t>、在建工程</w:t>
      </w:r>
    </w:p>
    <w:p>
      <w:pPr>
        <w:autoSpaceDE w:val="0"/>
        <w:autoSpaceDN w:val="0"/>
        <w:adjustRightInd w:val="0"/>
        <w:spacing w:before="0" w:beforeLines="0" w:after="0" w:afterLines="0"/>
        <w:ind w:firstLine="420"/>
        <w:rPr>
          <w:rFonts w:hint="eastAsia" w:ascii="宋体"/>
          <w:b/>
          <w:sz w:val="21"/>
          <w:szCs w:val="24"/>
          <w:lang w:val="zh-CN"/>
        </w:rPr>
      </w:pPr>
      <w:r>
        <w:rPr>
          <w:rFonts w:hint="eastAsia" w:ascii="宋体"/>
          <w:b/>
          <w:sz w:val="21"/>
          <w:szCs w:val="24"/>
          <w:lang w:val="zh-CN"/>
        </w:rPr>
        <w:t>1、在建工程的计量</w:t>
      </w:r>
    </w:p>
    <w:p>
      <w:pPr>
        <w:autoSpaceDE w:val="0"/>
        <w:autoSpaceDN w:val="0"/>
        <w:adjustRightInd w:val="0"/>
        <w:spacing w:before="0" w:beforeLines="0" w:after="150" w:afterLines="0"/>
        <w:ind w:firstLine="420"/>
        <w:rPr>
          <w:rFonts w:hint="eastAsia" w:ascii="宋体"/>
          <w:sz w:val="21"/>
          <w:szCs w:val="24"/>
          <w:lang w:val="zh-CN"/>
        </w:rPr>
      </w:pPr>
      <w:r>
        <w:rPr>
          <w:rFonts w:hint="eastAsia" w:ascii="宋体"/>
          <w:sz w:val="21"/>
          <w:szCs w:val="24"/>
          <w:lang w:val="zh-CN"/>
        </w:rPr>
        <w:t>在建工程成本按实际工程支出确定﹐包括在建期间发生的各项必要工程支出、工程达到预定可使用状态前的应予资本化的借款费用以及其他相关费用等。</w:t>
      </w:r>
    </w:p>
    <w:p>
      <w:pPr>
        <w:autoSpaceDE w:val="0"/>
        <w:autoSpaceDN w:val="0"/>
        <w:adjustRightInd w:val="0"/>
        <w:spacing w:before="0" w:beforeLines="0" w:after="150" w:afterLines="0"/>
        <w:ind w:firstLine="420"/>
        <w:rPr>
          <w:rFonts w:hint="eastAsia" w:ascii="宋体"/>
          <w:b/>
          <w:sz w:val="21"/>
          <w:szCs w:val="24"/>
          <w:lang w:val="zh-CN"/>
        </w:rPr>
      </w:pPr>
      <w:r>
        <w:rPr>
          <w:rFonts w:hint="eastAsia" w:ascii="宋体"/>
          <w:b/>
          <w:sz w:val="21"/>
          <w:szCs w:val="24"/>
          <w:lang w:val="zh-CN"/>
        </w:rPr>
        <w:t>2、在建工程结转固定资产的标准和时点</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本公司在建工程在工程完工达到预定可使用状态时，结转固定资产。预定可使用状态的判断标准，应符合下列情况之一：</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（1）固定资产的实体建造（包括安装）工作已经全部完成或实质上已经全部完成；</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（2）已经试生产或试运行，并且其结果表明资产能够正常运行或能够稳定地生产出合格产品，或者试运行结果表明其能够正常运转或营业；</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（3）该项建造的固定资产上的支出金额很少或者几乎不再发生；</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（4）所购建的固定资产已经达到设计或合同要求，或与设计或合同要求基本相符。</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本公司所建造工程已达到预定可使用状态，但尚未办理竣工决算的，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b/>
          <w:sz w:val="21"/>
          <w:szCs w:val="24"/>
          <w:lang w:val="zh-CN"/>
        </w:rPr>
        <w:t>3、在建工程减值测试方法、减值准备计提方法</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资产负债表日，本公司对在建工程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150" w:beforeLines="0" w:after="0" w:afterLines="0"/>
        <w:ind w:firstLine="420"/>
        <w:rPr>
          <w:rFonts w:hint="eastAsia" w:ascii="宋体"/>
          <w:sz w:val="21"/>
          <w:szCs w:val="24"/>
          <w:lang w:val="zh-CN"/>
        </w:rPr>
      </w:pPr>
      <w:r>
        <w:rPr>
          <w:rFonts w:hint="eastAsia" w:ascii="宋体"/>
          <w:sz w:val="21"/>
          <w:szCs w:val="24"/>
          <w:lang w:val="zh-CN"/>
        </w:rPr>
        <w:t>在建工程可收回金额根据资产公允价值减去处置费用后的净额与资产预计未来现金流量的现值两者孰高确定。</w:t>
      </w:r>
    </w:p>
    <w:p>
      <w:pPr>
        <w:pStyle w:val="7"/>
        <w:spacing w:beforeLines="0" w:afterLines="0"/>
        <w:outlineLvl w:val="2"/>
        <w:rPr>
          <w:rFonts w:hint="default"/>
          <w:sz w:val="21"/>
          <w:szCs w:val="24"/>
        </w:rPr>
      </w:pPr>
      <w:r>
        <w:rPr>
          <w:rFonts w:hint="default"/>
          <w:sz w:val="21"/>
          <w:szCs w:val="24"/>
        </w:rPr>
        <w:t>26</w:t>
      </w:r>
      <w:r>
        <w:rPr>
          <w:rFonts w:hint="eastAsia"/>
          <w:sz w:val="21"/>
          <w:szCs w:val="24"/>
        </w:rPr>
        <w:t>、借款费用</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1、借款费用资本化的确认原则</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借款费用包括借款利息、折价或者溢价的摊销、辅助费用以及因外币借款而发生的汇兑差额等。公司发生的借款费用，可直接归属于符合资本化条件的资产的购建，予以资本化，计入相关资产成本；其他借款费用，在发生时根据其发生额确认为费用，计入当期损益。符合资本化条件的资产，是指需要经过相当长时间的购建或者生产活动才能达到预定可使用或者可销售状态的固定资产、投资性房地产和存货等资产。</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2、资本化金额的计算方法</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资本化期间：指从借款费用开始资本化时点到停止资本化时点的期间。借款费用暂停资本化的期间不包括在内。</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借款费用同时满足下列条件时开始资本化：（1）资产支出已经发生，资产支出包括为购建或者生产符合资本化条件的资产而以支付现金、转移非现金资产或者承担带息债务形式发生的支出；（2）借款费用已经发生；（3）为使资产达到预定可使用或者可销售状态所必要的购建或者生产活动已经开始。</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当购建或者生产符合资本化条件的资产达到预定可使用或者可销售状态时，本公司借款费用停止资本化。</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暂停资本化期间：在购建或生产过程中发生非正常中断、且中断时间连续超过3个月的，本公司暂停借款费用的资本化。</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资本化金额计算：（1）借入专门借款，按照专门借款当期实际发生的利息费用，减去将尚未动用的借款资金存入银行取得的利息收入或进行暂时性投资取得的投资收益后的金额确定；（2）占用一般借款按照累计资产支出超过专门借款部分的资产支出加权平均数乘以所占用一般借款的资本化率计算确定，资本化率为一般借款的加权平均利率；（3）借款存在折价或溢价的，按照实际利率法确定每一会计期间应摊销的折价或溢价金额，调整每期利息金额。</w:t>
      </w:r>
    </w:p>
    <w:p>
      <w:pPr>
        <w:pStyle w:val="7"/>
        <w:spacing w:beforeLines="0" w:afterLines="0"/>
        <w:outlineLvl w:val="2"/>
        <w:rPr>
          <w:rFonts w:hint="default"/>
          <w:sz w:val="21"/>
          <w:szCs w:val="24"/>
        </w:rPr>
      </w:pPr>
      <w:r>
        <w:rPr>
          <w:rFonts w:hint="default"/>
          <w:sz w:val="21"/>
          <w:szCs w:val="24"/>
        </w:rPr>
        <w:t>27</w:t>
      </w:r>
      <w:r>
        <w:rPr>
          <w:rFonts w:hint="eastAsia"/>
          <w:sz w:val="21"/>
          <w:szCs w:val="24"/>
        </w:rPr>
        <w:t>、生物资产</w:t>
      </w:r>
    </w:p>
    <w:p>
      <w:pPr>
        <w:pStyle w:val="7"/>
        <w:spacing w:beforeLines="0" w:afterLines="0"/>
        <w:outlineLvl w:val="2"/>
        <w:rPr>
          <w:rFonts w:hint="default"/>
          <w:sz w:val="21"/>
          <w:szCs w:val="24"/>
        </w:rPr>
      </w:pPr>
      <w:r>
        <w:rPr>
          <w:rFonts w:hint="default"/>
          <w:sz w:val="21"/>
          <w:szCs w:val="24"/>
        </w:rPr>
        <w:t>28</w:t>
      </w:r>
      <w:r>
        <w:rPr>
          <w:rFonts w:hint="eastAsia"/>
          <w:sz w:val="21"/>
          <w:szCs w:val="24"/>
        </w:rPr>
        <w:t>、油气资产</w:t>
      </w:r>
    </w:p>
    <w:p>
      <w:pPr>
        <w:pStyle w:val="7"/>
        <w:spacing w:beforeLines="0" w:afterLines="0"/>
        <w:outlineLvl w:val="2"/>
        <w:rPr>
          <w:rFonts w:hint="default"/>
          <w:sz w:val="21"/>
          <w:szCs w:val="24"/>
        </w:rPr>
      </w:pPr>
      <w:r>
        <w:rPr>
          <w:rFonts w:hint="default"/>
          <w:sz w:val="21"/>
          <w:szCs w:val="24"/>
        </w:rPr>
        <w:t>29</w:t>
      </w:r>
      <w:r>
        <w:rPr>
          <w:rFonts w:hint="eastAsia"/>
          <w:sz w:val="21"/>
          <w:szCs w:val="24"/>
        </w:rPr>
        <w:t>、使用权资产</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使用权资产，是指本公司作为承租人可在租赁期内使用租赁资产的权利。在租赁期开始日，本公司作为承租人应当对租赁确认使用权资产和租赁负债，但简化处理的短期租赁和低价值资产租赁除外。租赁期开始日，是指出租人提供租赁资产使其可供承租人使用的起始日期。</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本公司的使用权资产按照成本进行初始计量，该成本包括：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（1）租赁负债的初始计量金额；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（2）在租赁期开始日或之前支付的租赁付款额，存在租赁激励的，扣除已享受的租赁激励相关金额；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（3）本公司作为承租人发生的初始直接费用；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（4）本公司为拆卸及移除租赁资产、复原租赁资产所在场地或将租赁资产恢复至租赁条款约定状态预计将发生的成本。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本公司按照《企业会计准则第8号</w:t>
      </w:r>
      <w:r>
        <w:rPr>
          <w:rFonts w:hint="default"/>
          <w:sz w:val="21"/>
          <w:szCs w:val="24"/>
          <w:lang w:val="zh-CN"/>
        </w:rPr>
        <w:t>——</w:t>
      </w:r>
      <w:r>
        <w:rPr>
          <w:rFonts w:hint="eastAsia" w:ascii="宋体"/>
          <w:sz w:val="21"/>
          <w:szCs w:val="24"/>
          <w:lang w:val="zh-CN"/>
        </w:rPr>
        <w:t>资产减值》的规定，确定使用权资产是否发生减值，并对已识别的减值损失进行会计处理。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本公司根据准则重新计量租赁负债时，相应调整使用权资产的账面价值。如使用权资产的账面价值已调减至零，但租赁负债仍需进一步调减的，将剩余金额计入当期损益。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pStyle w:val="7"/>
        <w:spacing w:beforeLines="0" w:afterLines="0"/>
        <w:outlineLvl w:val="2"/>
        <w:rPr>
          <w:rFonts w:hint="default"/>
          <w:sz w:val="21"/>
          <w:szCs w:val="24"/>
        </w:rPr>
      </w:pPr>
      <w:r>
        <w:rPr>
          <w:rFonts w:hint="default"/>
          <w:sz w:val="21"/>
          <w:szCs w:val="24"/>
        </w:rPr>
        <w:t>30</w:t>
      </w:r>
      <w:r>
        <w:rPr>
          <w:rFonts w:hint="eastAsia"/>
          <w:sz w:val="21"/>
          <w:szCs w:val="24"/>
        </w:rPr>
        <w:t>、无形资产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）计价方法、使用寿命、减值测试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无形资产是指本公司拥有或者控制的没有实物形态的可辨认非货币性资产。无形资产是指本公司拥有或者控制的没有实物形态的可辨认非货币性资产，在同时满足以下条件时予以确认：</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①与该无形资产有关的经济利益很可能流入本公司；</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sz w:val="21"/>
          <w:szCs w:val="24"/>
          <w:lang w:val="zh-CN"/>
        </w:rPr>
        <w:t>②该无形资产的成本能够可靠地计量。</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a、无形资产的计量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无形资产按照成本进行初始计量。购入的无形资产，按实际支付的价款和相关支出作为实际成本。投资者投入的无形资产，按投资合同或协议约定的价值确定实际成本，但合同或协议约定价值不公允的，按公允价值确定实际成本自行开发的无形资产，其成本为达到预定用途前所发生的支出总额；对非同一控制下合并中取得被购买方拥有的但在其财务报表中未确认的无形资产，在对被购买方资产进行初始确认时，按公允价值确认为无形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无形资产后续计量，分别为：①使用寿命有限无形资产采用直线法摊销，并在年度终了，对无形资产的使用寿命和摊销方法进行复核，如与原先估计数存在差异的，进行相应的调整。②使用寿命不确定的无形资产不摊销，但在年度终了，对使用寿命进行复核，当有确凿证据表明其使用寿命是有限的，则估计其使用寿命，按直线法进行摊销。</w:t>
      </w:r>
    </w:p>
    <w:p>
      <w:pPr>
        <w:autoSpaceDE w:val="0"/>
        <w:autoSpaceDN w:val="0"/>
        <w:adjustRightInd w:val="0"/>
        <w:spacing w:before="0" w:beforeLines="0" w:after="0" w:afterLines="0"/>
        <w:ind w:firstLine="436"/>
        <w:jc w:val="left"/>
        <w:rPr>
          <w:rFonts w:hint="eastAsia" w:ascii="宋体"/>
          <w:b/>
          <w:sz w:val="21"/>
          <w:szCs w:val="24"/>
          <w:lang w:val="zh-CN"/>
        </w:rPr>
      </w:pPr>
      <w:r>
        <w:rPr>
          <w:rFonts w:hint="eastAsia" w:ascii="宋体"/>
          <w:b/>
          <w:sz w:val="21"/>
          <w:szCs w:val="24"/>
          <w:lang w:val="zh-CN"/>
        </w:rPr>
        <w:t>b、使用寿命不确定的判断依据</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本公司将无法预见该资产为公司带来经济利益的期限，或使用期限不确定等无形资产确定为使用寿命不确定的无形资产。</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使用寿命不确定的判断依据：①来源于合同性权利或其他法定权利，但合同规定或法律规定无明确使用年限；②综合同行业情况或相关专家论证等，仍无法判断无形资产为公司带来经济利益的期限。</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每年年末，本公司对使用寿命不确定无形资产使用寿命进行复核，主要采取自下而上的方式，由无形资产使用相关部门进行基础复核，评价使用寿命不确定判断依据是否存在变化等。</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c、无形资产的减值测试方法及减值准备计提方法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资产负债表日，本公司对无形资产检查是否存在可能发生减值的迹象，当存在减值迹象时应进行减值测试确认其可收回金额，按可收回金额低于账面价值部分计提减值准备，减值损失一经计提，在以后会计期间不再转回。</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无形资产可收回金额根据资产公允价值减去处置费用后的净额与资产预计未来现金流量的现值两者孰高确定。</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）内部研究开发支出会计政策</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内部研究开发项目研究阶段的支出，本公司于发生时计入当期损益；开发阶段的支出，只有同时满足下列条件的，本公司才予以资本化：（1）完成该无形资产以使其能够使用或出售在技术上具有可行性；（2）具有完成该无形资产并使用或出售的意图；（3）无形资产产生经济利益的方式，包括能够证明运用该无形资产生产的产品存在市场或无形资产自身存在市场，无形资产将在内部使用的，能证明其有用性；（4）有足够的技术、财务资源和其他资源支持，以完成该无形资产的开发，并有能力使用或出售该无形资产；（5）归属于该无形资产开发阶段的支出能够可靠地计量。</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划分内部研究开发项目的研究阶段和开发阶段的具体标准：为获取新的技术和知识等进行的有计划的调查阶段，本公司确定为研究阶段，该阶段具有计划性和探索性等特点；在进行商业性生产或使用前，将研究成果或其他知识应用于某项计划或设计，以生产出新的或具有实质性改进的材料、装置、产品等阶段，本公司确定为开发阶段，该阶段具有针对性和形成成果的可能性较大等特点。</w:t>
      </w:r>
    </w:p>
    <w:p>
      <w:pPr>
        <w:pStyle w:val="7"/>
        <w:spacing w:beforeLines="0" w:afterLines="0"/>
        <w:outlineLvl w:val="2"/>
        <w:rPr>
          <w:rFonts w:hint="default"/>
          <w:sz w:val="21"/>
          <w:szCs w:val="24"/>
        </w:rPr>
      </w:pPr>
      <w:r>
        <w:rPr>
          <w:rFonts w:hint="default"/>
          <w:sz w:val="21"/>
          <w:szCs w:val="24"/>
        </w:rPr>
        <w:t>31</w:t>
      </w:r>
      <w:r>
        <w:rPr>
          <w:rFonts w:hint="eastAsia"/>
          <w:sz w:val="21"/>
          <w:szCs w:val="24"/>
        </w:rPr>
        <w:t>、长期资产减值</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对长期股权投资、采用成本模式计量的投资性房地产、固定资产、在建工程、无形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本公司对因企业合并所形成的商誉和使用寿命不确定的无形资产，无论是否存在减值迹象，至少于每年末进行减值测试。对于尚未达到可使用状态的无形资产，也每年进行减值测试。</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进行商誉减值测试时，对于因企业合并形成的商誉的账面价值，自购买日起按照合理的方法分摊至相关的资产组；难以分摊至相关的资产组的，将其分摊至相关的资产组组合。在将商誉的账面价值分摊至相关的资产组或者资产组组合时，按照各资产组或者资产组组合的公允价值占相关资产组或者资产组组合公允价值总额的比例进行分摊。公允价值难以可靠计量的，按照各资产组或者资产组组合的账面价值占相关资产组或者资产组组合账面价值总额的比例进行分摊。</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本公司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再对包含商誉的资产组或者资产组组合进行减值测试，比较这些相关资产组或者资产组组合的账面价值（包括所分摊的商誉的账面价值部分）与其可收回金额，如相关资产组或者资产组组合的可收回金额低于其账面价值的，就其差额确认减值损失。减值损失金额首先抵减分摊至资产组或者资产组组合中商誉的账面价值；再根据资产组或者资产组组合中除商誉之外的其他各项资产的账面价值所占比重，按比例抵减其他各项资产的账面价值。</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上述资产减值损失一经确认，本公司在以后会计期间不予转回。</w:t>
      </w:r>
    </w:p>
    <w:p>
      <w:pPr>
        <w:pStyle w:val="7"/>
        <w:spacing w:beforeLines="0" w:afterLines="0"/>
        <w:outlineLvl w:val="2"/>
        <w:rPr>
          <w:rFonts w:hint="default"/>
          <w:sz w:val="21"/>
          <w:szCs w:val="24"/>
        </w:rPr>
      </w:pPr>
      <w:r>
        <w:rPr>
          <w:rFonts w:hint="default"/>
          <w:sz w:val="21"/>
          <w:szCs w:val="24"/>
        </w:rPr>
        <w:t>32</w:t>
      </w:r>
      <w:r>
        <w:rPr>
          <w:rFonts w:hint="eastAsia"/>
          <w:sz w:val="21"/>
          <w:szCs w:val="24"/>
        </w:rPr>
        <w:t>、长期待摊费用</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长期待摊费用是指已经支出，但受益期限在一年以上（不含一年）的各项费用。长期待摊费用按费用项目的受益期限分期摊销。若长期待摊的费用项目不能使以后会计期间受益，本公司将尚未摊销的该项目的摊余价值全部转入当期损益。</w:t>
      </w:r>
    </w:p>
    <w:p>
      <w:pPr>
        <w:pStyle w:val="7"/>
        <w:spacing w:beforeLines="0" w:afterLines="0"/>
        <w:outlineLvl w:val="2"/>
        <w:rPr>
          <w:rFonts w:hint="default"/>
          <w:sz w:val="21"/>
          <w:szCs w:val="24"/>
        </w:rPr>
      </w:pPr>
      <w:r>
        <w:rPr>
          <w:rFonts w:hint="default"/>
          <w:sz w:val="21"/>
          <w:szCs w:val="24"/>
        </w:rPr>
        <w:t>33</w:t>
      </w:r>
      <w:r>
        <w:rPr>
          <w:rFonts w:hint="eastAsia"/>
          <w:sz w:val="21"/>
          <w:szCs w:val="24"/>
        </w:rPr>
        <w:t>、合同负债</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合同负债，是指本公司已收或应收客户对价而应向客户转让商品的义务。如果在本公司向客户转让商品之前，客户已经支付了合同对价或本公司已经取得了无条件收款权，本公司在客户实际支付款项和到期应支付款项孰早时点，将该已收或应收款项列示为合同负债。同一合同下的合同资产和合同负债以净额列示，不同合同下的合同资产和合同负债不予抵销。</w:t>
      </w:r>
    </w:p>
    <w:p>
      <w:pPr>
        <w:pStyle w:val="7"/>
        <w:spacing w:beforeLines="0" w:afterLines="0"/>
        <w:outlineLvl w:val="2"/>
        <w:rPr>
          <w:rFonts w:hint="default"/>
          <w:sz w:val="21"/>
          <w:szCs w:val="24"/>
        </w:rPr>
      </w:pPr>
      <w:r>
        <w:rPr>
          <w:rFonts w:hint="default"/>
          <w:sz w:val="21"/>
          <w:szCs w:val="24"/>
        </w:rPr>
        <w:t>34</w:t>
      </w:r>
      <w:r>
        <w:rPr>
          <w:rFonts w:hint="eastAsia"/>
          <w:sz w:val="21"/>
          <w:szCs w:val="24"/>
        </w:rPr>
        <w:t>、职工薪酬</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）短期薪酬的会计处理方法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短期薪酬包括短期工资、奖金、津贴、补贴、职工福利费、住房公积金、工会经费和职工教育经费、医疗保险费、工伤保险费、生育保险费、短期带薪缺勤、短期利润分享计划等。</w:t>
      </w:r>
      <w:r>
        <w:rPr>
          <w:rFonts w:hint="eastAsia" w:ascii="宋体"/>
          <w:sz w:val="21"/>
          <w:szCs w:val="24"/>
          <w:lang w:val="en-AU"/>
        </w:rPr>
        <w:t>在职工提供服务的会计期间，将实际发生的应付的短期薪酬确认为负债，并按照受益对象</w:t>
      </w:r>
      <w:r>
        <w:rPr>
          <w:rFonts w:hint="eastAsia" w:ascii="宋体"/>
          <w:sz w:val="21"/>
          <w:szCs w:val="24"/>
          <w:lang w:val="zh-CN"/>
        </w:rPr>
        <w:t>按照权责发生制原则</w:t>
      </w:r>
      <w:r>
        <w:rPr>
          <w:rFonts w:hint="eastAsia" w:ascii="宋体"/>
          <w:sz w:val="21"/>
          <w:szCs w:val="24"/>
          <w:lang w:val="en-AU"/>
        </w:rPr>
        <w:t>计入当期损益或相关资产成本。</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）离职后福利的会计处理方法</w:t>
      </w:r>
    </w:p>
    <w:p>
      <w:pPr>
        <w:autoSpaceDE w:val="0"/>
        <w:autoSpaceDN w:val="0"/>
        <w:adjustRightInd w:val="0"/>
        <w:spacing w:before="0" w:beforeLines="0" w:after="0" w:afterLines="0"/>
        <w:ind w:firstLine="440"/>
        <w:rPr>
          <w:rFonts w:hint="eastAsia" w:ascii="宋体"/>
          <w:sz w:val="21"/>
          <w:szCs w:val="24"/>
          <w:lang w:val="zh-CN"/>
        </w:rPr>
      </w:pPr>
      <w:r>
        <w:rPr>
          <w:rFonts w:hint="eastAsia" w:ascii="宋体"/>
          <w:sz w:val="21"/>
          <w:szCs w:val="24"/>
          <w:lang w:val="en-AU"/>
        </w:rPr>
        <w:t>离职后福利主要包括基本养老保险费、企业年金等，按照公司承担的风险和义务，分类为设定提存计划、设定受益计划。</w:t>
      </w:r>
    </w:p>
    <w:p>
      <w:pPr>
        <w:autoSpaceDE w:val="0"/>
        <w:autoSpaceDN w:val="0"/>
        <w:adjustRightInd w:val="0"/>
        <w:spacing w:before="0" w:beforeLines="0" w:after="0" w:afterLines="0"/>
        <w:ind w:firstLine="440"/>
        <w:rPr>
          <w:rFonts w:hint="eastAsia" w:ascii="宋体"/>
          <w:sz w:val="21"/>
          <w:szCs w:val="24"/>
          <w:lang w:val="zh-CN"/>
        </w:rPr>
      </w:pPr>
      <w:r>
        <w:rPr>
          <w:rFonts w:hint="eastAsia" w:ascii="宋体"/>
          <w:sz w:val="21"/>
          <w:szCs w:val="24"/>
          <w:lang w:val="en-AU"/>
        </w:rPr>
        <w:t>设定提存计划：在根据在资产负债表日为换取职工在会计期间提供的服务而向单独主体缴存的提存金确认为负债，并按照受益对象计入当期损益或相关资产成本。</w:t>
      </w:r>
    </w:p>
    <w:p>
      <w:pPr>
        <w:autoSpaceDE w:val="0"/>
        <w:autoSpaceDN w:val="0"/>
        <w:adjustRightInd w:val="0"/>
        <w:spacing w:before="0" w:beforeLines="0" w:after="0" w:afterLines="0"/>
        <w:ind w:firstLine="440"/>
        <w:rPr>
          <w:rFonts w:hint="eastAsia" w:ascii="宋体"/>
          <w:sz w:val="21"/>
          <w:szCs w:val="24"/>
          <w:lang w:val="zh-CN"/>
        </w:rPr>
      </w:pPr>
      <w:r>
        <w:rPr>
          <w:rFonts w:hint="eastAsia" w:ascii="宋体"/>
          <w:sz w:val="21"/>
          <w:szCs w:val="24"/>
          <w:lang w:val="zh-CN"/>
        </w:rPr>
        <w:t>设定受益计划：在半年和年度资产负债表日由独立精算师进行精算估值，以预期累积福利单位法确定提供福利的成本。设定受益计划导致的职工薪酬成本包括下列组成部分：（1）服务成本，包括当期服务成本、过去服务成本和结算利得或损失。其中，当期服务成本是指，职工当期提供服务所导致的设定受益义务现值的增加额；过去服务成本是指，设定受益计划修改所导致的与以前期间职工服务相关的设定受益义务现值的增加或减少；（2）设定受益义务的利息费用；（3）重新计量设定受益计划负债导致的变动。除非其他会计准则要求或允许职工福利成本计入资产成本，本公司将上述第（1）和（2）项计入当期损益；第（3）项计入其他综合收益且不会在后续会计期间转回至损益。</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）辞退福利的会计处理方法</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辞退福利是指本公司在职工劳动合同到期之前解除与职工的劳动关系，或者为鼓励职工自愿接受裁减而提出给予补偿的建议。本公司在不能单方面撤回因解除劳动关系计划或裁减建议所提供的辞退福利时，或确认与涉及支付辞退福利的重组相关的成本或费用时（两者孰早），确认辞退福利产生的职工薪酬负债，并计入当期损益。</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）其他长期职工福利的会计处理方法</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7"/>
        <w:spacing w:beforeLines="0" w:afterLines="0"/>
        <w:outlineLvl w:val="2"/>
        <w:rPr>
          <w:rFonts w:hint="default"/>
          <w:sz w:val="21"/>
          <w:szCs w:val="24"/>
        </w:rPr>
      </w:pPr>
      <w:r>
        <w:rPr>
          <w:rFonts w:hint="default"/>
          <w:sz w:val="21"/>
          <w:szCs w:val="24"/>
        </w:rPr>
        <w:t>35</w:t>
      </w:r>
      <w:r>
        <w:rPr>
          <w:rFonts w:hint="eastAsia"/>
          <w:sz w:val="21"/>
          <w:szCs w:val="24"/>
        </w:rPr>
        <w:t>、租赁负债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在租赁期开始日，本公司作为承租人对租赁确认使用权资产和租赁负债。本公司的租赁负债按照租赁期开始日尚未支付的租赁付款额的现值进行初始计量。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在计算租赁付款额的现值时，本公司采用租赁内含利率作为折现率；无法确定租赁内含利率的，采用本公司（即承租人）增量借款利率作为折现率。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内含利率，是指使出租人的租赁收款额的现值与未担保余值的现值之和等于租赁资产公允价值与出租人的初始直接费用之和的利率。承租人增量借款利率，是指承租人在类似经济环境下为获得与使用权资产价值接近的资产，在类似期间以类似抵押条件借入资金须支付的利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本公司按照固定的周期性利率计算租赁负债在租赁期内各期间的利息费用，并计入当期损益或资产成本。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在租赁期开始日后，本公司续租选择权、终止租赁选择权或购买选择权评估结果发生变化的，重新确定租赁付款额，并按变动后租赁付款额和修订后的折现率计算的现值重新计量租赁负债：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后，根据担保余值预计的应付金额发生变动，或者因用于确定租赁付款额的指数或比率变动而导致未来租赁付款额发生变动的，本公司应当按照变动后租赁付款额的现值重新计量租赁负债。在这些情形下，本公司采用的折现率不变；但是，租赁付款额的变动源自浮动利率变动的，使用修订后的折现率。</w:t>
      </w:r>
    </w:p>
    <w:p>
      <w:pPr>
        <w:pStyle w:val="7"/>
        <w:spacing w:beforeLines="0" w:afterLines="0"/>
        <w:outlineLvl w:val="2"/>
        <w:rPr>
          <w:rFonts w:hint="default"/>
          <w:sz w:val="21"/>
          <w:szCs w:val="24"/>
        </w:rPr>
      </w:pPr>
      <w:r>
        <w:rPr>
          <w:rFonts w:hint="default"/>
          <w:sz w:val="21"/>
          <w:szCs w:val="24"/>
        </w:rPr>
        <w:t>36</w:t>
      </w:r>
      <w:r>
        <w:rPr>
          <w:rFonts w:hint="eastAsia"/>
          <w:sz w:val="21"/>
          <w:szCs w:val="24"/>
        </w:rPr>
        <w:t>、预计负债</w:t>
      </w:r>
    </w:p>
    <w:p>
      <w:pPr>
        <w:autoSpaceDE w:val="0"/>
        <w:autoSpaceDN w:val="0"/>
        <w:adjustRightInd w:val="0"/>
        <w:spacing w:before="0" w:beforeLines="0" w:after="0" w:afterLines="0"/>
        <w:ind w:right="306" w:firstLine="436"/>
        <w:rPr>
          <w:rFonts w:hint="eastAsia" w:ascii="宋体"/>
          <w:b/>
          <w:sz w:val="21"/>
          <w:szCs w:val="24"/>
          <w:lang w:val="zh-CN"/>
        </w:rPr>
      </w:pPr>
      <w:r>
        <w:rPr>
          <w:rFonts w:hint="eastAsia" w:ascii="宋体"/>
          <w:b/>
          <w:sz w:val="21"/>
          <w:szCs w:val="24"/>
          <w:lang w:val="zh-CN"/>
        </w:rPr>
        <w:t>1、预计负债的确认标准</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当与或有事项相关的义务是本公司承担的现时义务，且履行该义务很可能导致经济利益流出，同时其金额能够可靠地计量时确认该义务为预计负债。</w:t>
      </w:r>
    </w:p>
    <w:p>
      <w:pPr>
        <w:autoSpaceDE w:val="0"/>
        <w:autoSpaceDN w:val="0"/>
        <w:adjustRightInd w:val="0"/>
        <w:spacing w:before="0" w:beforeLines="0" w:after="0" w:afterLines="0"/>
        <w:ind w:right="306" w:firstLine="436"/>
        <w:rPr>
          <w:rFonts w:hint="eastAsia" w:ascii="宋体"/>
          <w:b/>
          <w:sz w:val="21"/>
          <w:szCs w:val="24"/>
          <w:lang w:val="zh-CN"/>
        </w:rPr>
      </w:pPr>
      <w:r>
        <w:rPr>
          <w:rFonts w:hint="eastAsia" w:ascii="宋体"/>
          <w:b/>
          <w:sz w:val="21"/>
          <w:szCs w:val="24"/>
          <w:lang w:val="zh-CN"/>
        </w:rPr>
        <w:t>2、预计负债的计量方法</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本公司预计负债按照履行相关现时义务所需支出的最佳估计数进行初始计量，如所需支出存在一个连续范围，且该范围内各种结果发生的可能性相同，最佳估计数按照该范围内的中间值确定；如涉及多个项目，按照各种可能结果及相关概率计算确定最佳估计数。</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本公司于资产负债表日对预计负债账面价值进行复核，有确凿证据表明该账面价值不能真实反映当前最佳估计数，按照当前最佳估计数对该账面价值进行调整。</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如果清偿预计负债所需支出全部或部分预期由第三方补偿的，补偿金额在基本确定能够收到时，作为资产单独确认，且确认的补偿金额不超过预计负债的账面价值。</w:t>
      </w:r>
    </w:p>
    <w:p>
      <w:pPr>
        <w:pStyle w:val="7"/>
        <w:spacing w:beforeLines="0" w:afterLines="0"/>
        <w:outlineLvl w:val="2"/>
        <w:rPr>
          <w:rFonts w:hint="default"/>
          <w:sz w:val="21"/>
          <w:szCs w:val="24"/>
        </w:rPr>
      </w:pPr>
      <w:r>
        <w:rPr>
          <w:rFonts w:hint="default"/>
          <w:sz w:val="21"/>
          <w:szCs w:val="24"/>
        </w:rPr>
        <w:t>37</w:t>
      </w:r>
      <w:r>
        <w:rPr>
          <w:rFonts w:hint="eastAsia"/>
          <w:sz w:val="21"/>
          <w:szCs w:val="24"/>
        </w:rPr>
        <w:t>、股份支付</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本公司的股份支付是为了获取职工[或其他方]提供服务而授予权益工具或者承担以权益工具为基础确定的负债的交易。本公司的股份支付分为以权益结算的股份支付和以现金结算的股份支付。</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用以换取职工提供服务的以权益结算的股份支付，本公司以授予职工权益工具在授予日的公允价值计量。在等待期内每个资产负债表日，本公司根据最新取得的可行权职工人数变动 、是否达到规定业绩条件等后续信息对可行权权益工具数量作出最佳估计，以此为基础，按照授予日的公允价值，将当期取得的服务计入相关成本或费用，相应增加资本公积。在可行权日之后不再对已确认的相关成本或费用和所有者权益总额进行调整。但授予后立即可行权的，在授予日按照公允价值计入相关成本或费用，相应增加资本公积。</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以现金结算的股份支付，按照本公司承担的以股份或其他权益工具为基础确定的负债的公允价值计量。如授予后立即可行权，在授予日以承担负债的公允价值计入相关成本或费用，相应增加负债；如需完成等待期内的服务或达到规定业绩条件以后才可行权，在等待期的每个资产负债表日，以对可行权情况的最佳估计为基础，按照本公司承担负债的公允价值金额，将当期取得的服务计入成本或费用，相应调整负债。在相关负债结算前的每个资产负债表日以及结算日，对负债的公允价值重新计量，其变动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 xml:space="preserve">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如果公司按照有利于职工的方式修改可行权条件，如缩短等待期、变更或取消业绩条件（而非市场条件），公司在处理可行权条件时，应当考虑修改后的可行权条件。若修改减少了股份支付公允价值总额或采用了其他不利于职工的方式修改股份支付计划的条款和条件，则仍继续对取得的服务进行会计处理，视同该变更从未发生，除非本公司取消了部分或全部已授予的权益工具。 </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等待期内，如果取消了授予的权益工具，本公司对取消所授予的权益性工具作为加速行权处理，将剩余等待期内应确认的金额立即计入当期损益，同时确认资本公积。职工或其他方能够选择满足非可行权条件但在等待期内未满足的，本公司将其作为授予权益工具的取消处理。</w:t>
      </w:r>
    </w:p>
    <w:p>
      <w:pPr>
        <w:pStyle w:val="7"/>
        <w:spacing w:beforeLines="0" w:afterLines="0"/>
        <w:outlineLvl w:val="2"/>
        <w:rPr>
          <w:rFonts w:hint="default"/>
          <w:sz w:val="21"/>
          <w:szCs w:val="24"/>
        </w:rPr>
      </w:pPr>
      <w:r>
        <w:rPr>
          <w:rFonts w:hint="default"/>
          <w:sz w:val="21"/>
          <w:szCs w:val="24"/>
        </w:rPr>
        <w:t>38</w:t>
      </w:r>
      <w:r>
        <w:rPr>
          <w:rFonts w:hint="eastAsia"/>
          <w:sz w:val="21"/>
          <w:szCs w:val="24"/>
        </w:rPr>
        <w:t>、优先股、永续债等其他金融工具</w:t>
      </w:r>
    </w:p>
    <w:p>
      <w:pPr>
        <w:pStyle w:val="7"/>
        <w:spacing w:beforeLines="0" w:afterLines="0"/>
        <w:outlineLvl w:val="2"/>
        <w:rPr>
          <w:rFonts w:hint="default"/>
          <w:sz w:val="21"/>
          <w:szCs w:val="24"/>
        </w:rPr>
      </w:pPr>
      <w:r>
        <w:rPr>
          <w:rFonts w:hint="default"/>
          <w:sz w:val="21"/>
          <w:szCs w:val="24"/>
        </w:rPr>
        <w:t>39</w:t>
      </w:r>
      <w:r>
        <w:rPr>
          <w:rFonts w:hint="eastAsia"/>
          <w:sz w:val="21"/>
          <w:szCs w:val="24"/>
        </w:rPr>
        <w:t>、收入</w:t>
      </w:r>
    </w:p>
    <w:p>
      <w:pPr>
        <w:spacing w:beforeLines="0" w:afterLines="0"/>
        <w:jc w:val="left"/>
        <w:rPr>
          <w:rFonts w:hint="default"/>
          <w:sz w:val="18"/>
          <w:szCs w:val="24"/>
        </w:rPr>
      </w:pPr>
      <w:r>
        <w:rPr>
          <w:rFonts w:hint="eastAsia"/>
          <w:sz w:val="18"/>
          <w:szCs w:val="24"/>
        </w:rPr>
        <w:t>收入确认和计量所采用的会计政策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与客户之间的合同同时满足下列条件时，在客户取得相关商品控制权时确认收入：合同各方已批准该合同并承诺将履行各自义务；合同明确了合同各方与所转让商品或提供劳务相关的权利和义务；合同有明确的与所转让商品相关的支付条款；合同具有商业实质，即履行该合同将改变公司未来现金流量的风险、时间分布或金额；公司因向客户转让商品而有权取得的对价很可能收回。</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合同开始日，本公司识别合同中存在的各单项履约义务，并将交易价格按照各单项履约义务所承诺商品的单独售价的相对比例分摊至各单项履约义务。在确定交易价格时考虑了可变对价、合同中存在的重大融资成分、非现金对价、应付客户对价等因素的影响。</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合同中的每个单项履约义务，如果满足下列条件之一的，公司在相关履约时段内按照履约进度将分摊至该单项履约义务的交易价格确认为收入：客户在公司履约的同时即取得并消耗公司履约所带来的经济利益；客户能够控制公司履约过程中在建的商品；公司履约过程中所产出的商品具有不可替代用途，且公司在整个合同期间内有权就累计至今已完成的履约部分收取款项。履约进度根据所转让商品的性质采用投入法或产出法确定，当履约进度不能合理确定时，公司已经发生的成本预计能够得到补偿的，按照已经发生的成本金额确认收入，直到履约进度能够合理确定为止。</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如果不满足上述条件之一，则公司在客户取得相关商品控制权的时点将分摊至该单项履约义务的交易价格确认收入。在判断客户是否已取得商品控制权时，公司考虑下列迹象：企业就该商品享有现时收款权利，即客户就该商品负有现时付款义务；企业已将该商品的法定所有权转移给客户，即客户已拥有该商品的法定所有权；企业已将该商品实物转移给客户，即客户已实物占有该商品；企业已将该商品所有权上的主要风险和报酬转移给客户，即客户已取得该商品所有权上的主要风险和报酬；客户已接受该商品。其他表明客户已取得商品控制权的迹象。</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公司销售商品收入确认的具体原则为：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外销销售收入确认：</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销售定价交易模式为FOB和CFR、CIF方式下,公司以货物装船,报关出口手续完成后控制权发生转移，确认收入的实现；在销售定价交易模式为EXW方式下，货物报关出口并交付给企业后控制权发生转移，确认收入的实现。</w:t>
      </w:r>
    </w:p>
    <w:p>
      <w:pPr>
        <w:autoSpaceDE w:val="0"/>
        <w:autoSpaceDN w:val="0"/>
        <w:adjustRightInd w:val="0"/>
        <w:spacing w:before="0" w:beforeLines="0" w:after="0" w:afterLines="0"/>
        <w:ind w:firstLine="327"/>
        <w:rPr>
          <w:rFonts w:hint="eastAsia" w:ascii="宋体"/>
          <w:sz w:val="21"/>
          <w:szCs w:val="24"/>
          <w:lang w:val="zh-CN"/>
        </w:rPr>
      </w:pPr>
      <w:r>
        <w:rPr>
          <w:rFonts w:hint="eastAsia" w:ascii="宋体"/>
          <w:sz w:val="21"/>
          <w:szCs w:val="24"/>
          <w:lang w:val="zh-CN"/>
        </w:rPr>
        <w:t>国内销售收入确认：</w:t>
      </w:r>
    </w:p>
    <w:p>
      <w:pPr>
        <w:autoSpaceDE w:val="0"/>
        <w:autoSpaceDN w:val="0"/>
        <w:adjustRightInd w:val="0"/>
        <w:spacing w:before="0" w:beforeLines="0" w:after="0" w:afterLines="0"/>
        <w:ind w:firstLine="327"/>
        <w:rPr>
          <w:rFonts w:hint="eastAsia" w:ascii="宋体"/>
          <w:sz w:val="21"/>
          <w:szCs w:val="24"/>
          <w:lang w:val="zh-CN"/>
        </w:rPr>
      </w:pPr>
      <w:r>
        <w:rPr>
          <w:rFonts w:hint="eastAsia" w:ascii="宋体"/>
          <w:sz w:val="21"/>
          <w:szCs w:val="24"/>
          <w:lang w:val="zh-CN"/>
        </w:rPr>
        <w:t>如需要检验或安装的，在客户接受商品并且检验或安装完毕时控制权发生转移，确认销售收入；无需检验或安装的，在产品出库且对方确认收到产品时控制权发生转移，确认销售收入。</w:t>
      </w:r>
    </w:p>
    <w:p>
      <w:pPr>
        <w:spacing w:beforeLines="0" w:afterLines="0"/>
        <w:jc w:val="left"/>
        <w:rPr>
          <w:rFonts w:hint="default"/>
          <w:sz w:val="18"/>
          <w:szCs w:val="24"/>
        </w:rPr>
      </w:pPr>
      <w:r>
        <w:rPr>
          <w:rFonts w:hint="eastAsia"/>
          <w:sz w:val="18"/>
          <w:szCs w:val="24"/>
        </w:rPr>
        <w:t>同类业务采用不同经营模式导致收入确认会计政策存在差异的情况</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7"/>
        <w:spacing w:beforeLines="0" w:afterLines="0"/>
        <w:outlineLvl w:val="2"/>
        <w:rPr>
          <w:rFonts w:hint="default"/>
          <w:sz w:val="21"/>
          <w:szCs w:val="24"/>
        </w:rPr>
      </w:pPr>
      <w:r>
        <w:rPr>
          <w:rFonts w:hint="default"/>
          <w:sz w:val="21"/>
          <w:szCs w:val="24"/>
        </w:rPr>
        <w:t>40</w:t>
      </w:r>
      <w:r>
        <w:rPr>
          <w:rFonts w:hint="eastAsia"/>
          <w:sz w:val="21"/>
          <w:szCs w:val="24"/>
        </w:rPr>
        <w:t>、政府补助</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1、政府补助类型</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政府补助是指本公司从政府无偿取得的货币性资产或非货币性资产（但不包括政府作为所有者投入的资本），主要划分为与资产相关的政府补助和与收益相关的政府补助两种类型。政府补助为货币性资产的，按照收到或应收的金额计量。政府补助为非货币性资产的，按照公允价值计量；公允价值不能够可靠取得的，按照名义金额计量。按照名义金额计量的政府补助，直接计入当期损益。</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2、与资产相关的政府补助的会计处理方法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与资产相关的政府补助，是指本公司取得的、用于购建或以其他方式形成长期资产的政府补助。本公司对与资产相关的政府补助，冲减相关资产账面价值或确认为递延收益，确认为递延收益的，在相关资产使用寿命内按照合理、系统的方法分期计入当期损益（与本公司日常活动相关的，计入其他收益；与本公司日常活动无关的，计入营业外收入）；</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3、与收益相关的政府补助的会计处理方法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与收益相关的政府补助，是指本公司取得的除与资产相关的政府补助之外的政府补助。本公司对与收益相关的政府补助，用于补偿本公司以后期间的相关成本费用或损失的，确认为递延收益，并在确认相关成本费用或损失的期间，计入当期损益（与本公司日常活动相关的，计入其他收益；与本公司日常活动无关的，计入营业外收入）或冲减相关成本费用或损失；用于补偿本公司已发生的相关成本费用或损失的，直接计入当期损益（与本公司日常活动相关的，计入其他收益；与本公司日常活动无关的，计入营业外收入）或冲减相关成本费用或损失。</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本公司取得的政策性优惠贷款贴息，区分以下两种情况，分别进行会计处理：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（1）财政将贴息资金拨付给贷款银行，由贷款银行以政策性优惠利率向本公司提供贷款的，本公司以实际收到的借款金额作为借款的入账价值，按照借款本金和该政策性优惠利率计算相关借款费用。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（2）财政将贴息资金直接拨付给本公司的，本公司将对应的贴息冲减相关借款费用。</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4、区分与资产相关政府补助和与收益相关政府补助的具体标准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企业取得的政府补助，用于补助长期资产购置、建造等直接相关支出，为与资产相关的政府补助。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企业取得的政府补助，用于补助补偿的期间费用或损失的，为与收益相关的政府补助。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企业取得的综合性项目补助，依据批准文件或申请文件将其划分为与资产相关的政府补助和与收益相关的政府补助。难以区分的，将政府补助整体归类为与收益相关的政府补助。</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b/>
          <w:sz w:val="21"/>
          <w:szCs w:val="24"/>
          <w:lang w:val="zh-CN"/>
        </w:rPr>
        <w:t>5、政府补助的确认时点</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按照应收金额计量的政府补助，本公司在期末有确凿证据表明能够符合财政扶持政策规定的相关条件且预计能够收到财政扶持资金时予以确认。</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除按照应收金额计量的政府补助外的其他政府补助，本公司在实际收到补助款项时予以确认。</w:t>
      </w:r>
    </w:p>
    <w:p>
      <w:pPr>
        <w:pStyle w:val="7"/>
        <w:spacing w:beforeLines="0" w:afterLines="0"/>
        <w:outlineLvl w:val="2"/>
        <w:rPr>
          <w:rFonts w:hint="default"/>
          <w:sz w:val="21"/>
          <w:szCs w:val="24"/>
        </w:rPr>
      </w:pPr>
      <w:r>
        <w:rPr>
          <w:rFonts w:hint="default"/>
          <w:sz w:val="21"/>
          <w:szCs w:val="24"/>
        </w:rPr>
        <w:t>41</w:t>
      </w:r>
      <w:r>
        <w:rPr>
          <w:rFonts w:hint="eastAsia"/>
          <w:sz w:val="21"/>
          <w:szCs w:val="24"/>
        </w:rPr>
        <w:t>、递延所得税资产</w:t>
      </w:r>
      <w:r>
        <w:rPr>
          <w:rFonts w:hint="default"/>
          <w:sz w:val="21"/>
          <w:szCs w:val="24"/>
        </w:rPr>
        <w:t>/</w:t>
      </w:r>
      <w:r>
        <w:rPr>
          <w:rFonts w:hint="eastAsia"/>
          <w:sz w:val="21"/>
          <w:szCs w:val="24"/>
        </w:rPr>
        <w:t>递延所得税负债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公司根据资产、负债的账面价值与其计税基础之间的差额（未作为资产和负债确认的项目按照税法规定可以确定其计税基础的，该计税基础与其账面数之间的差额），按照预期收回该资产或清偿该负债期间的适用税率计算确认递延所得税资产或递延所得税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对于应纳税暂时性差异，除特殊情况外，确认递延所得税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递延所得税资产的确认以很可能取得用来抵扣可抵扣暂时性差异的应纳税所得额为限。资产负债表日，有确凿证据表明未来期间很可能获得足够的应纳税所得额用来抵扣可抵扣暂时性差异的，确认以前会计期间未确认的递延所得税资产。如未来期间很可能无法获得足够的应纳税所得额用以抵扣递延所得税资产的，则减记递延所得税资产的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4、对与子公司及联营企业投资相关的应纳税暂时性差异，确认递延所得税负债，除非本公司能够控制暂时性差异转回的时间且该暂时性差异在可预见的未来很可能不会转回。本公司对与子公司及联营企业投资相关的可抵扣暂时性差异，当该暂时性差异在可预见的未来很可能转回且未来很可能获得用来抵扣可抵扣暂时性差异的应纳税所得额时，确认递延所得税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5、对于商誉的初始确认产生的暂时性差异，不确认相应的递延所得税负债。对于既不影响会计利润也不影响应纳税所得额(或可抵扣亏损)的非企业合并的交易中产生的资产或负债的初始确认形成的暂时性差异，不确认相应的递延所得税资产和递延所得税负债。资产负债表日，本公司递延所得税资产和递延所得税负债按照预期收回该资产或清偿该负债期间的适用税率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6、同时满足下列条件的递延所得税资产和递延所得税负债以抵销后的净额列示：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（1）递延所得税资产和递延所得税负债与同一税收征管部门对本公司内同一纳税主体征收的所得税相关；</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（2）本公司内该纳税主体拥有以净额结算当期所得税资产及当期所得税负债的法定权利。</w:t>
      </w:r>
    </w:p>
    <w:p>
      <w:pPr>
        <w:pStyle w:val="7"/>
        <w:spacing w:beforeLines="0" w:afterLines="0"/>
        <w:outlineLvl w:val="2"/>
        <w:rPr>
          <w:rFonts w:hint="default"/>
          <w:sz w:val="21"/>
          <w:szCs w:val="24"/>
        </w:rPr>
      </w:pPr>
      <w:r>
        <w:rPr>
          <w:rFonts w:hint="default"/>
          <w:sz w:val="21"/>
          <w:szCs w:val="24"/>
        </w:rPr>
        <w:t>42</w:t>
      </w:r>
      <w:r>
        <w:rPr>
          <w:rFonts w:hint="eastAsia"/>
          <w:sz w:val="21"/>
          <w:szCs w:val="24"/>
        </w:rPr>
        <w:t>、租赁</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）经营租赁的会计处理方法</w:t>
      </w:r>
    </w:p>
    <w:p>
      <w:pPr>
        <w:autoSpaceDE w:val="0"/>
        <w:autoSpaceDN w:val="0"/>
        <w:adjustRightInd w:val="0"/>
        <w:spacing w:before="0" w:beforeLines="0" w:after="0" w:afterLines="0"/>
        <w:ind w:firstLine="545"/>
        <w:rPr>
          <w:rFonts w:hint="eastAsia" w:ascii="宋体"/>
          <w:sz w:val="21"/>
          <w:szCs w:val="24"/>
          <w:lang w:val="zh-CN"/>
        </w:rPr>
      </w:pPr>
      <w:r>
        <w:rPr>
          <w:rFonts w:hint="eastAsia" w:ascii="宋体"/>
          <w:sz w:val="21"/>
          <w:szCs w:val="24"/>
          <w:lang w:val="zh-CN"/>
        </w:rPr>
        <w:t>租赁，是指在一定期间内，出租人将资产的使用权让与承租人以获取对价的合同。</w:t>
      </w:r>
    </w:p>
    <w:p>
      <w:pPr>
        <w:autoSpaceDE w:val="0"/>
        <w:autoSpaceDN w:val="0"/>
        <w:adjustRightInd w:val="0"/>
        <w:spacing w:before="0" w:beforeLines="0" w:after="0" w:afterLines="0"/>
        <w:ind w:firstLine="545"/>
        <w:rPr>
          <w:rFonts w:hint="eastAsia" w:ascii="宋体"/>
          <w:sz w:val="21"/>
          <w:szCs w:val="24"/>
          <w:lang w:val="zh-CN"/>
        </w:rPr>
      </w:pPr>
      <w:r>
        <w:rPr>
          <w:rFonts w:hint="eastAsia" w:ascii="宋体"/>
          <w:sz w:val="21"/>
          <w:szCs w:val="24"/>
          <w:lang w:val="zh-CN"/>
        </w:rPr>
        <w:t>在合同开始日/变更日，本公司评估该合同是否为租赁或者包含租赁。如果合同中一方让渡了在一定期间内控制一项或多项已识别资产使用的权利以换取对价，则该合同为租赁或者包含租赁。除非合同条款和条件发生变化，本公司不重新评估合同是否为租赁或者包含租赁。</w:t>
      </w:r>
    </w:p>
    <w:p>
      <w:pPr>
        <w:autoSpaceDE w:val="0"/>
        <w:autoSpaceDN w:val="0"/>
        <w:adjustRightInd w:val="0"/>
        <w:spacing w:before="0" w:beforeLines="0" w:after="0" w:afterLines="0"/>
        <w:ind w:firstLine="545"/>
        <w:rPr>
          <w:rFonts w:hint="eastAsia" w:ascii="宋体"/>
          <w:sz w:val="21"/>
          <w:szCs w:val="24"/>
          <w:lang w:val="zh-CN"/>
        </w:rPr>
      </w:pPr>
      <w:r>
        <w:rPr>
          <w:rFonts w:hint="eastAsia" w:ascii="宋体"/>
          <w:sz w:val="21"/>
          <w:szCs w:val="24"/>
          <w:lang w:val="zh-CN"/>
        </w:rPr>
        <w:t>合同中同时包含多项单独租赁的，承租人和出租人将合同予以分拆，并分别各项单独租赁进行会计处理。合同中同时包含租赁和非租赁部分的，承租人和出租人将租赁和非租赁部分进行分拆。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1、本公司作为承租人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A、使用权资产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使用权资产，是指本公司作为承租人可在租赁期内使用租赁资产的权利。在租赁期开始日，本公司作为承租人对租赁确认使用权资产和租赁负债，但简化处理的短期租赁和低价值资产租赁除外。</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本公司的使用权资产按照成本进行初始计量，该成本包括：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a租赁负债的初始计量金额；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b在租赁期开始日或之前支付的租赁付款额，存在租赁激励的，扣除已享受的租赁激励相关金额；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c本公司作为承租人发生的初始直接费用；</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d本公司为拆卸及移除租赁资产、复原租赁资产所在场地或将租赁资产恢复至租赁条款约定状态预计将发生的成本。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采用平均年限法对使用权资产计提折旧。本公司能够合理确定租赁期届满时取得租赁资产所有权的，在租赁资产剩余使用寿命内计提折旧。无法合理确定租赁期届满时能够取得租赁资产所有权的，本公司在租赁期与租赁资产剩余使用寿命两者孰短的期间内计提折旧。</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本公司按照《企业会计准则第8号</w:t>
      </w:r>
      <w:r>
        <w:rPr>
          <w:rFonts w:hint="default"/>
          <w:sz w:val="21"/>
          <w:szCs w:val="24"/>
          <w:lang w:val="zh-CN"/>
        </w:rPr>
        <w:t>——</w:t>
      </w:r>
      <w:r>
        <w:rPr>
          <w:rFonts w:hint="eastAsia" w:ascii="宋体"/>
          <w:sz w:val="21"/>
          <w:szCs w:val="24"/>
          <w:lang w:val="zh-CN"/>
        </w:rPr>
        <w:t>资产减值》的规定，确定使用权资产是否发生减值，并对已识别的减值损失进行会计处理。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本公司根据准则重新计量租赁负债时，相应调整使用权资产的账面价值。如使用权资产的账面价值已调减至零，但租赁负债仍需进一步调减的，将剩余金额计入当期损益。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B</w:t>
      </w:r>
      <w:r>
        <w:rPr>
          <w:rFonts w:hint="eastAsia" w:ascii="宋体"/>
          <w:sz w:val="21"/>
          <w:szCs w:val="24"/>
          <w:lang w:val="zh-CN"/>
        </w:rPr>
        <w:t>、租赁负债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在租赁期开始日，本公司作为承租人对租赁确认使用权资产和租赁负债，但简化处理的短期租赁和低价值资产租赁除外。本公司的租赁负债按照租赁期开始日尚未支付的租赁付款额的现值进行初始计量。</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在计算租赁付款额的现值时，本公司采用租赁内含利率作为折现率；无法确定租赁内含利率的，采用本公司（即承租人）增量借款利率作为折现率。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内含利率，是指使出租人的租赁收款额的现值与未担保余值的现值之和等于租赁资产公允价值与出租人的初始直接费用之和的利率。承租人增量借款利率，是指本公司作为承租人在类似经济环境下为获得与使用权资产价值接近的资产，在类似期间以类似抵押条件借入资金须支付的利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本公司按照固定的周期性利率计算租赁负债在租赁期内各期间的利息费用，并计入当期损益或资产成本。</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在租赁期开始日后，本公司续租选择权、终止租赁选择权或购买选择权评估结果发生变化的，重新确定租赁付款额，并按变动后租赁付款额和修订后的折现率计算的现值重新计量租赁负债：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开始日后，根据担保余值预计的应付金额发生变动，或者因用于确定租赁付款额的指数或比率变动而导致未来租赁付款额发生变动的，本公司按照变动后租赁付款额的现值重新计量租赁负债。在这些情形下，本公司采用的折现率不变；但是，租赁付款额的变动源自浮动利率变动的，使用修订后的折现率。</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C</w:t>
      </w:r>
      <w:r>
        <w:rPr>
          <w:rFonts w:hint="eastAsia" w:ascii="宋体"/>
          <w:sz w:val="21"/>
          <w:szCs w:val="24"/>
          <w:lang w:val="zh-CN"/>
        </w:rPr>
        <w:t>、短期租赁和低价值资产租赁</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本公司对短期租赁以及低价值资产租赁，选择不确认使用权资产和租赁负债。短期租赁，是指在租赁期开始日，租赁期不超过 12 个月且不包含购买选择权的租赁。低价值资产租赁，是指单项租赁资产为全新资产时价值较低的租赁。本公司将短期租赁和低价值资产租赁的租赁付款额，在租赁期内各个期间按照直线法计入当期损益或相关资产成本。</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D</w:t>
      </w:r>
      <w:r>
        <w:rPr>
          <w:rFonts w:hint="eastAsia" w:ascii="宋体"/>
          <w:sz w:val="21"/>
          <w:szCs w:val="24"/>
          <w:lang w:val="zh-CN"/>
        </w:rPr>
        <w:t>、租赁变更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租赁发生变更且同时符合下列条件的，本公司将该租赁变更作为一项单独租赁进行会计处理：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a、该租赁变更通过增加一项或多项租赁资产的使用权而扩大了租赁范围；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b、增加的对价与租赁范围扩大部分的单独价格按该合同情况调整后的金额相当。</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租赁变更未作为一项单独租赁进行会计处理的，在租赁变更生效日，本公司重新分摊变更后合同的对价，重新确定租赁期，并按照变更后租赁付款额和修订后的折现率计算的现值重新计量租赁负债。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租赁变更导致租赁范围缩小或租赁期缩短的，本公司相应调减使用权资产的账面价值，并将部分终止或完全终止租赁的相关利得或损失计入当期损益。其他租赁变更导致租赁负债重新计量的，本公司相应调整使用权资产的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2、本公司作为出租人</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A</w:t>
      </w:r>
      <w:r>
        <w:rPr>
          <w:rFonts w:hint="eastAsia" w:ascii="宋体"/>
          <w:sz w:val="21"/>
          <w:szCs w:val="24"/>
          <w:lang w:val="zh-CN"/>
        </w:rPr>
        <w:t>、租赁的分类</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开始日，本公司作为出租人将租赁分为融资租赁和经营租赁。融资租赁，是指无论所有权最终是否转移，但实质上转移了与租赁资产所有权有关的几乎全部风险和报酬的租赁。经营租赁，是指除融资租赁以外的其他租赁。本公司作为转租出租人时，基于原租赁产生的使用权资产对转租赁进行分类。</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B</w:t>
      </w:r>
      <w:r>
        <w:rPr>
          <w:rFonts w:hint="eastAsia" w:ascii="宋体"/>
          <w:sz w:val="21"/>
          <w:szCs w:val="24"/>
          <w:lang w:val="zh-CN"/>
        </w:rPr>
        <w:t>、本公司作为出租人记录经营租赁业务</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在租赁期内各个期间，本公司采用直线法将经营租赁的租赁收款额确认为租金收入。本公司发生的与经营租赁有关的初始直接费用于发生时予以资本化，在租赁期内按照与租金收入确认相同的基础进行分摊，分期计入当期损益。本公司取得的与经营租赁有关的未计入租赁收款额的可变租赁收款额，在实际发生时计入当期损益。</w:t>
      </w:r>
    </w:p>
    <w:p>
      <w:pPr>
        <w:autoSpaceDE w:val="0"/>
        <w:autoSpaceDN w:val="0"/>
        <w:adjustRightInd w:val="0"/>
        <w:spacing w:before="0" w:beforeLines="0" w:after="0" w:afterLines="0"/>
        <w:ind w:firstLine="436"/>
        <w:rPr>
          <w:rFonts w:hint="default" w:eastAsia="Times New Roman"/>
          <w:sz w:val="21"/>
          <w:szCs w:val="24"/>
          <w:lang w:val="zh-CN"/>
        </w:rPr>
      </w:pPr>
      <w:r>
        <w:rPr>
          <w:rFonts w:hint="default" w:eastAsia="Times New Roman"/>
          <w:sz w:val="21"/>
          <w:szCs w:val="24"/>
          <w:lang w:val="zh-CN"/>
        </w:rPr>
        <w:t>C</w:t>
      </w:r>
      <w:r>
        <w:rPr>
          <w:rFonts w:hint="eastAsia" w:ascii="宋体"/>
          <w:sz w:val="21"/>
          <w:szCs w:val="24"/>
          <w:lang w:val="zh-CN"/>
        </w:rPr>
        <w:t>、融资租赁的会计处理方法</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于租赁期开始日，本公司对融资租赁确认应收融资租赁款，并终止确认相关资产。本公司对应收融资租赁款进行初始计量时，将租赁投资净额作为应收融资租赁款的入账价值。租赁投资净额为未担保余值和租赁期开始日尚未收到的租赁收款额按照租赁内含利率折现的现值之和。</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按照固定的周期性利率计算并确认租赁期内各个期间的利息收入。应收融资租赁款的终止确认和减值按照本附注“（十）金融工具”进行会计处理。未纳入租赁投资净额计量的可变租赁付款额在实际发生时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作为生产商或经销商并作为出租人的融资租赁，在租赁期开始日，本公司按照租赁资产公允价值与租赁收款额按市场利率折现的现值两者孰低确认收入，并按照租赁资产账面价值扣除未担保余值的现值后的余额结转销售成本。本公司作为生产商或经销商并作为出租人为取得融资租赁发生的成本，在租赁期开始日计入当期损益。</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D租赁变更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本公司作为出租人的融资租赁发生变更且同时符合下列条件的，本公司将该变更作为一项单独租赁进行会计处理：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a.该变更通过增加一项或多项租赁资产的使用权而扩大了租赁范围；</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b.增加的对价与租赁范围扩大部分的单独价格按该合同情况调整后的金额相当。</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融资租赁的变更未作为一项单独租赁进行会计处理的，本公司作为出租人分别下列情形对变更后的租赁进行处理：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a.假如变更在租赁开始日生效，该租赁会被分类为经营租赁的，本公司作为出租人自租赁变更生效日开始将其作为一项新租赁进行会计处理，并以租赁变更生效日前的租赁投资净额作为租赁资产的账面价值；</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b.假如变更在租赁开始日生效，该租赁会被分类为融资租赁的，本公司作为出租人按照《企业会计准则第22号</w:t>
      </w:r>
      <w:r>
        <w:rPr>
          <w:rFonts w:hint="default"/>
          <w:sz w:val="21"/>
          <w:szCs w:val="24"/>
          <w:lang w:val="zh-CN"/>
        </w:rPr>
        <w:t>——</w:t>
      </w:r>
      <w:r>
        <w:rPr>
          <w:rFonts w:hint="eastAsia" w:ascii="宋体"/>
          <w:sz w:val="21"/>
          <w:szCs w:val="24"/>
          <w:lang w:val="zh-CN"/>
        </w:rPr>
        <w:t>金融工具确认和计量》关于修改或重新议定合同的规定进行会计处理。即，修改或重新议定租赁合同，未导致应收融资租赁款终止确认,但导致未来现金流量发生变化的，重新计算该应收融资租赁款的账面余额，并将相关利得或损失计入当期损益。重新计算应收融资租赁款账面余额时，根据重新议定或修改的租赁合同现金流量按照应收融资租赁款的原折现率或按照《企业会计准则第24号一套期会计》(2017)第二十三条规定重新计算的折现率(如适用)折现的现值确定。对于修改或重新议定租赁合同所产生的所有成本和费用，本公司调整修改后的应收融资租赁款的账面价值，并在修改后应收融资租赁款的剩余期限内进行摊销。</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本公司作为出租人的经营租赁发生变更的，本公司自变更生效日起将其作为一项新租赁进行会计处理，与变更前租赁有关的预收或应收租赁收款额视为新租赁的收款额。</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3、售后租回交易</w:t>
      </w:r>
    </w:p>
    <w:p>
      <w:pPr>
        <w:autoSpaceDE w:val="0"/>
        <w:autoSpaceDN w:val="0"/>
        <w:adjustRightInd w:val="0"/>
        <w:spacing w:before="0" w:beforeLines="0" w:after="0" w:afterLines="0"/>
        <w:ind w:firstLine="436"/>
        <w:rPr>
          <w:rFonts w:hint="eastAsia" w:ascii="宋体"/>
          <w:b/>
          <w:sz w:val="21"/>
          <w:szCs w:val="24"/>
          <w:lang w:val="zh-CN"/>
        </w:rPr>
      </w:pPr>
      <w:r>
        <w:rPr>
          <w:rFonts w:hint="eastAsia" w:ascii="宋体"/>
          <w:sz w:val="21"/>
          <w:szCs w:val="24"/>
          <w:lang w:val="zh-CN"/>
        </w:rPr>
        <w:t>本公司按照本附注“三、（三十三）收入”所述原则评估确定售后租回交易中的资产转让是否属于销售。</w:t>
      </w:r>
    </w:p>
    <w:p>
      <w:pPr>
        <w:autoSpaceDE w:val="0"/>
        <w:autoSpaceDN w:val="0"/>
        <w:adjustRightInd w:val="0"/>
        <w:spacing w:before="0" w:beforeLines="0" w:after="0" w:afterLines="0"/>
        <w:ind w:firstLine="436"/>
        <w:rPr>
          <w:rFonts w:hint="default" w:eastAsia="Times New Roman"/>
          <w:sz w:val="21"/>
          <w:szCs w:val="24"/>
          <w:lang w:val="zh-CN"/>
        </w:rPr>
      </w:pPr>
      <w:r>
        <w:rPr>
          <w:rFonts w:hint="eastAsia" w:ascii="宋体"/>
          <w:sz w:val="21"/>
          <w:szCs w:val="24"/>
          <w:lang w:val="zh-CN"/>
        </w:rPr>
        <w:t>A</w:t>
      </w:r>
      <w:r>
        <w:rPr>
          <w:rFonts w:hint="default" w:eastAsia="Times New Roman"/>
          <w:sz w:val="21"/>
          <w:szCs w:val="24"/>
          <w:lang w:val="zh-CN"/>
        </w:rPr>
        <w:t xml:space="preserve">  </w:t>
      </w:r>
      <w:r>
        <w:rPr>
          <w:rFonts w:hint="eastAsia" w:ascii="宋体"/>
          <w:sz w:val="21"/>
          <w:szCs w:val="24"/>
          <w:lang w:val="zh-CN"/>
        </w:rPr>
        <w:t>本公司作为卖方及承租人：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售后租回交易中的资产转让属于销售的，公司作为承租人按原资产账面价值中与租回获得的使用权有关的部分，计量售后租回所形成的使用权资产，并仅就转让至出租人的权利确认相关利得或损失；售后租回交易中的资产转让不属于销售的，公司作为承租人继续确认被转让资产，同时确认一项与转让收入等额的金融负债。金融负债的会计处理详见本附注“（十）金融工具”。</w:t>
      </w:r>
    </w:p>
    <w:p>
      <w:pPr>
        <w:autoSpaceDE w:val="0"/>
        <w:autoSpaceDN w:val="0"/>
        <w:adjustRightInd w:val="0"/>
        <w:spacing w:before="0" w:beforeLines="0" w:after="0" w:afterLines="0"/>
        <w:ind w:firstLine="436"/>
        <w:rPr>
          <w:rFonts w:hint="default" w:eastAsia="Times New Roman"/>
          <w:sz w:val="21"/>
          <w:szCs w:val="24"/>
          <w:lang w:val="zh-CN"/>
        </w:rPr>
      </w:pPr>
      <w:r>
        <w:rPr>
          <w:rFonts w:hint="eastAsia" w:ascii="宋体"/>
          <w:sz w:val="21"/>
          <w:szCs w:val="24"/>
          <w:lang w:val="zh-CN"/>
        </w:rPr>
        <w:t>B</w:t>
      </w:r>
      <w:r>
        <w:rPr>
          <w:rFonts w:hint="default" w:eastAsia="Times New Roman"/>
          <w:sz w:val="21"/>
          <w:szCs w:val="24"/>
          <w:lang w:val="zh-CN"/>
        </w:rPr>
        <w:t xml:space="preserve">  </w:t>
      </w:r>
      <w:r>
        <w:rPr>
          <w:rFonts w:hint="eastAsia" w:ascii="宋体"/>
          <w:sz w:val="21"/>
          <w:szCs w:val="24"/>
          <w:lang w:val="zh-CN"/>
        </w:rPr>
        <w:t>本公司作为买方及出租人</w:t>
      </w:r>
    </w:p>
    <w:p>
      <w:pPr>
        <w:autoSpaceDE w:val="0"/>
        <w:autoSpaceDN w:val="0"/>
        <w:adjustRightInd w:val="0"/>
        <w:spacing w:before="0" w:beforeLines="0" w:after="0" w:afterLines="0"/>
        <w:ind w:firstLine="545"/>
        <w:rPr>
          <w:rFonts w:hint="eastAsia" w:ascii="宋体"/>
          <w:sz w:val="21"/>
          <w:szCs w:val="24"/>
          <w:lang w:val="zh-CN"/>
        </w:rPr>
      </w:pPr>
      <w:r>
        <w:rPr>
          <w:rFonts w:hint="eastAsia" w:ascii="宋体"/>
          <w:sz w:val="21"/>
          <w:szCs w:val="24"/>
          <w:lang w:val="zh-CN"/>
        </w:rPr>
        <w:t>售后租回交易中的资产转让属于销售的，公司作为出租人对资产购买进行会计处理，并根据前述“（2）本公司作为出租人”的政策对资产出租进行会计处理；售后租回交易中的资产转让不属于销售的，公司作为出租人不确认被转让资产，但确认一项与转让收入等额的金融资产。</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）融资租赁的会计处理方法</w:t>
      </w:r>
    </w:p>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金融资产的会计处理详见本附注“（十）金融工具”。</w:t>
      </w:r>
    </w:p>
    <w:p>
      <w:pPr>
        <w:pStyle w:val="7"/>
        <w:spacing w:beforeLines="0" w:afterLines="0"/>
        <w:outlineLvl w:val="2"/>
        <w:rPr>
          <w:rFonts w:hint="default"/>
          <w:sz w:val="21"/>
          <w:szCs w:val="24"/>
        </w:rPr>
      </w:pPr>
      <w:r>
        <w:rPr>
          <w:rFonts w:hint="default"/>
          <w:sz w:val="21"/>
          <w:szCs w:val="24"/>
        </w:rPr>
        <w:t>43</w:t>
      </w:r>
      <w:r>
        <w:rPr>
          <w:rFonts w:hint="eastAsia"/>
          <w:sz w:val="21"/>
          <w:szCs w:val="24"/>
        </w:rPr>
        <w:t>、其他重要的会计政策和会计估计</w:t>
      </w:r>
    </w:p>
    <w:p>
      <w:pPr>
        <w:autoSpaceDE w:val="0"/>
        <w:autoSpaceDN w:val="0"/>
        <w:adjustRightInd w:val="0"/>
        <w:spacing w:before="0" w:beforeLines="0" w:after="0" w:afterLines="0"/>
        <w:ind w:right="34" w:firstLine="436"/>
        <w:rPr>
          <w:rFonts w:hint="eastAsia" w:ascii="宋体"/>
          <w:b/>
          <w:sz w:val="21"/>
          <w:szCs w:val="24"/>
          <w:lang w:val="zh-CN"/>
        </w:rPr>
      </w:pPr>
      <w:r>
        <w:rPr>
          <w:rFonts w:hint="eastAsia" w:ascii="宋体"/>
          <w:b/>
          <w:sz w:val="21"/>
          <w:szCs w:val="24"/>
          <w:lang w:val="zh-CN"/>
        </w:rPr>
        <w:t>1、股份回购</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股份回购中支付的对价和交易费用减少股东权益，回购、转让或注销本公司股份时，不确认利得或损失。</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转让库存股，按实际收到的金额与库存股账面金额的差额，计入资本公积，资本公积不足冲减的，冲减盈余公积和未分配利润。</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注销库存股，按股票面值和注销股数减少股本，按注销库存股的账面余额与面值的差额，冲减资本公积，资本公积不足冲减的，冲减盈余公积和未分配利润。</w:t>
      </w:r>
    </w:p>
    <w:p>
      <w:pPr>
        <w:autoSpaceDE w:val="0"/>
        <w:autoSpaceDN w:val="0"/>
        <w:adjustRightInd w:val="0"/>
        <w:spacing w:before="0" w:beforeLines="0" w:after="0" w:afterLines="0"/>
        <w:ind w:right="34" w:firstLine="436"/>
        <w:rPr>
          <w:rFonts w:hint="eastAsia" w:ascii="宋体"/>
          <w:b/>
          <w:sz w:val="21"/>
          <w:szCs w:val="24"/>
          <w:lang w:val="zh-CN"/>
        </w:rPr>
      </w:pPr>
      <w:r>
        <w:rPr>
          <w:rFonts w:hint="eastAsia" w:ascii="宋体"/>
          <w:b/>
          <w:sz w:val="21"/>
          <w:szCs w:val="24"/>
          <w:lang w:val="zh-CN"/>
        </w:rPr>
        <w:t>2、债务重组</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债务重组，是指在不改变交易对手方的情况下，经债权人和债务人协定或法院裁定，就清偿债务的时间、金额或方式等重新达成协议的交易。</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（1）本公司作为债务人记录债务重组</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本公司以资产清偿债务的债务重组，在相关资产和所清偿债务符合终止确认条件时予以终止确认，所清偿债务账面价值与转让资产账面价值之间的差额计入当期损益。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本公司将债务转为权益工具的债务重组，在所清偿债务符合终止确认条件时予以终止确认。初始确认权益工具时按照权益工具的公允价值计量，权益工具的公允价值不能可靠计量的，按照所清偿债务的公允价值计量。所清偿债务账面价值与权益工具确认金额之间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采用修改其他条款方式进行债务重组的，本公司按照《企业会计准则第 22 号</w:t>
      </w:r>
      <w:r>
        <w:rPr>
          <w:rFonts w:hint="default"/>
          <w:sz w:val="21"/>
          <w:szCs w:val="24"/>
          <w:lang w:val="zh-CN"/>
        </w:rPr>
        <w:t>——</w:t>
      </w:r>
      <w:r>
        <w:rPr>
          <w:rFonts w:hint="eastAsia" w:ascii="宋体"/>
          <w:sz w:val="21"/>
          <w:szCs w:val="24"/>
          <w:lang w:val="zh-CN"/>
        </w:rPr>
        <w:t>金融工具的确认和计量》、《企业会计准则第 37 号</w:t>
      </w:r>
      <w:r>
        <w:rPr>
          <w:rFonts w:hint="default"/>
          <w:sz w:val="21"/>
          <w:szCs w:val="24"/>
          <w:lang w:val="zh-CN"/>
        </w:rPr>
        <w:t>——</w:t>
      </w:r>
      <w:r>
        <w:rPr>
          <w:rFonts w:hint="eastAsia" w:ascii="宋体"/>
          <w:sz w:val="21"/>
          <w:szCs w:val="24"/>
          <w:lang w:val="zh-CN"/>
        </w:rPr>
        <w:t>金融工具列报》的规定，确认和计量重组债务。</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以多项资产清偿债务或者组合方式进行债务重组的，本公司按照前述方法确认和计量权益工具和重组债务，所清偿债务的账面价值与转让资产的账面价值以及权益工具和重组债务的确认金额之和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（2）本公司作为债权人记录债务重组</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债务人以资产清偿债务或者将债务转为权益工具方式进行债务重组的，本公司在相关资产符合其定义和确认条件时予以确认。</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债务人以资产清偿债务方式进行债务重组的，本公司初始确认受让的金融资产以外的资产时，应当按照下列原则以成本计量：①存货的成本，包括放弃债权的公允价值和使该资产达到当前位置和状态所发生的可直接归属于该资产的税金、运输费、装卸费、保险费等其他成本。②对联营企业或合营企业投资的成本，包括放弃债权的公允价值和可直接归属于该资产的税金等其他成本。③投资性房地产的成本，包括放弃债权的公允价值和可直接归属于该资产的税金等其他成本。④固定资产的成本，包括放弃债权的公允价值和使该资产达到预定可使用状态前所发生的可直接归属于该资产的税金、运输费、装卸费、安装费、专业人员服务费等其他成本。⑤生物资产的成本，包括放弃债权的公允价值和可直接归属于该资产的税金、运输费、保险费等其他成本。⑥无形资产的成本，包括放弃债权的公允价值和可直接归属于使该资产达到预定用途所发生的税金等其他成本。放弃债权的公允价值与账面价值之间的差额，应当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将债务转为权益工具的债务重组导致本公司将债权转为对联营企业或合营企业的权益性投资的，按照放弃债权的公允价值和可直接归属于该资产的税金等其他成本计量其初始投资成本。放弃债权的公允价值与账面价值之间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采用修改其他条款方式进行债务重组的，本公司按照《企业会计准则第 22 号</w:t>
      </w:r>
      <w:r>
        <w:rPr>
          <w:rFonts w:hint="default"/>
          <w:sz w:val="21"/>
          <w:szCs w:val="24"/>
          <w:lang w:val="zh-CN"/>
        </w:rPr>
        <w:t>——</w:t>
      </w:r>
      <w:r>
        <w:rPr>
          <w:rFonts w:hint="eastAsia" w:ascii="宋体"/>
          <w:sz w:val="21"/>
          <w:szCs w:val="24"/>
          <w:lang w:val="zh-CN"/>
        </w:rPr>
        <w:t>金融工具的确认和计量》的规定，确认和计量重组债权。</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采用多项资产清偿债务或者组合方式进行债务重组的，首先按照《企业会计准则第 22 号</w:t>
      </w:r>
      <w:r>
        <w:rPr>
          <w:rFonts w:hint="default"/>
          <w:sz w:val="21"/>
          <w:szCs w:val="24"/>
          <w:lang w:val="zh-CN"/>
        </w:rPr>
        <w:t>——</w:t>
      </w:r>
      <w:r>
        <w:rPr>
          <w:rFonts w:hint="eastAsia" w:ascii="宋体"/>
          <w:sz w:val="21"/>
          <w:szCs w:val="24"/>
          <w:lang w:val="zh-CN"/>
        </w:rPr>
        <w:t>金融工具的确认和计量》的规定确认和计量受让的金融资产和重组债权，然后按照受让的金融资产以外的各项资产的公允价值比例，对放弃债权的公允价值扣除受让金融资产和重组债权确认金额后的净额进行分配，并以此为基础按照前述方法分别确定各项资产的成本。放弃债权的公允价值与账面价值之间的差额，计入当期损益。</w:t>
      </w:r>
    </w:p>
    <w:p>
      <w:pPr>
        <w:autoSpaceDE w:val="0"/>
        <w:autoSpaceDN w:val="0"/>
        <w:adjustRightInd w:val="0"/>
        <w:spacing w:before="0" w:beforeLines="0" w:after="0" w:afterLines="0"/>
        <w:ind w:right="34" w:firstLine="436"/>
        <w:rPr>
          <w:rFonts w:hint="eastAsia" w:ascii="宋体"/>
          <w:b/>
          <w:sz w:val="21"/>
          <w:szCs w:val="24"/>
          <w:lang w:val="zh-CN"/>
        </w:rPr>
      </w:pPr>
      <w:r>
        <w:rPr>
          <w:rFonts w:hint="eastAsia" w:ascii="宋体"/>
          <w:b/>
          <w:sz w:val="21"/>
          <w:szCs w:val="24"/>
          <w:lang w:val="zh-CN"/>
        </w:rPr>
        <w:t>3、非货币性资产交换</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如果非货币性资产交换具有商业实质，并且换入资产或换出资产的公允价值能够可靠地计量，本公司的非货币性资产交换以公允价值为基础计量。对于换入资产，本公司以换出资产的公允价值和应支付的相关税费作为换入资产的成本进行初始计量；对于换出资产，在终止确认时，将换出资产公允价值与账面价值的差额计入当期损益。有确凿证据表明换入资产的公允价值更加可靠的，对于换入资产，本公司以换入资产的公允价值和应支付的相关税费作为换入资产的初始计量金额；对于换出资产，在终止确认时，将换入资产的公允价值与换出资产账面价值之间的差额计入当期损益。涉及补价的，按照以下规定处理：①支付补价的，以换出资产的公允价值，加上支付补价的公允价值和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减去支付补价的公允价值，与换出资产账面价值之间的差额计入当期损益。②收到补价的，以换出资产的公允价值，减去收到补价的公允价值，加上应支付的相关税费，作为换入资产的成本，换出资产的公允价值与其账面价值之间的差额计入当期损益。有确凿证据表明换入资产的公允价值更加可靠的，以换入资产的公允价值和应支付的相关税费作为换入资产的初始计量金额，换入资产的公允价值加上收到补价的公允价值，与换出资产账面价值之间的差额计入当期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不满足以公允价值为基础计量条件的非货币性资产交换，本公司以账面价值为基础计量。对于换入资产，以换出资产的账面价值和应支付的相关税费作为换入资产的初始计量金额；对于换出资产，终止确认时不确认损益。涉及补价的，应当按照下列规定进行处理：○1支付补价的，以换出资产的账面价值，加上支付补价的账面价值和应支付的相关税费，作为换入资产的初始计量金额，不确认损益。○2收到补价的，以换出资产的账面价值，减去收到补价的公允价值，加上应支付的相关税费，作为换入资产的初始计量金额，不确认损益。</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非货币性资产交换同时换入多项资产的，如果以公允价值为基础计量，本公司按照换入的金融资产以外的各项换入资产公允价值相对比例，将换出资产公允价值总额扣除换入金融资产公允价值后的净额进行分摊，以分摊至各项换入资产的金额，加上应支付的相关税费，作为各项换入资产的成本进行初始计量；有确凿证据表明换入资产的公允价值更加可靠的，本公司以各项换入资产的公允价值和应支付的相关税费作为各项换入资产的成本进行初始计量。非货币性资产交换以账面价值为基础计量的，按照各项换入资产的公允价值的相对比例，将换出资产的账面价值总额分摊至各项换入资产，加上应支付的相关税费，作为各项换入资产的初始计量金额。</w:t>
      </w:r>
    </w:p>
    <w:p>
      <w:pPr>
        <w:autoSpaceDE w:val="0"/>
        <w:autoSpaceDN w:val="0"/>
        <w:adjustRightInd w:val="0"/>
        <w:spacing w:before="0" w:beforeLines="0" w:after="0" w:afterLines="0"/>
        <w:ind w:right="34" w:firstLine="436"/>
        <w:rPr>
          <w:rFonts w:hint="eastAsia" w:ascii="宋体"/>
          <w:sz w:val="21"/>
          <w:szCs w:val="24"/>
          <w:lang w:val="zh-CN"/>
        </w:rPr>
      </w:pPr>
      <w:r>
        <w:rPr>
          <w:rFonts w:hint="eastAsia" w:ascii="宋体"/>
          <w:sz w:val="21"/>
          <w:szCs w:val="24"/>
          <w:lang w:val="zh-CN"/>
        </w:rPr>
        <w:t>非货币性资产交换同时换出多项资产的，如果以公允价值为基础计量，本公司将各项换出资产的公允价值与其账面价值之间的差额，在各项换出资产终止确认时计入当期损益；有确凿证据表明换入资产的公允价值更加可靠的，按照各项换出资产的公允价值的相对比例，将换入资产的公允价值总额分摊至各项换出资产，分摊至各项换出资产的金额与各项换出资产账面价值之间的差额，在各项换出资产终止确认时计入当期损益。非货币性资产交换以账面价值为基础计量的，各项换出资产终止确认时均不确认损益。</w:t>
      </w:r>
    </w:p>
    <w:p>
      <w:pPr>
        <w:pStyle w:val="7"/>
        <w:spacing w:beforeLines="0" w:afterLines="0"/>
        <w:outlineLvl w:val="2"/>
        <w:rPr>
          <w:rFonts w:hint="default"/>
          <w:sz w:val="21"/>
          <w:szCs w:val="24"/>
        </w:rPr>
      </w:pPr>
      <w:r>
        <w:rPr>
          <w:rFonts w:hint="default"/>
          <w:sz w:val="21"/>
          <w:szCs w:val="24"/>
        </w:rPr>
        <w:t>44</w:t>
      </w:r>
      <w:r>
        <w:rPr>
          <w:rFonts w:hint="eastAsia"/>
          <w:sz w:val="21"/>
          <w:szCs w:val="24"/>
        </w:rPr>
        <w:t>、重要会计政策和会计估计变更</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）重要会计政策变更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1"/>
        <w:gridCol w:w="3189"/>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会计政策变更的内容和原因</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审批程序</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财政部修订《企业会计准则第</w:t>
            </w:r>
            <w:r>
              <w:rPr>
                <w:rFonts w:hint="default"/>
                <w:sz w:val="18"/>
                <w:szCs w:val="24"/>
              </w:rPr>
              <w:t>21</w:t>
            </w:r>
            <w:r>
              <w:rPr>
                <w:rFonts w:hint="eastAsia"/>
                <w:sz w:val="18"/>
                <w:szCs w:val="24"/>
              </w:rPr>
              <w:t>号</w:t>
            </w:r>
            <w:r>
              <w:rPr>
                <w:rFonts w:hint="default"/>
                <w:sz w:val="18"/>
                <w:szCs w:val="24"/>
              </w:rPr>
              <w:t>——</w:t>
            </w:r>
            <w:r>
              <w:rPr>
                <w:rFonts w:hint="eastAsia"/>
                <w:sz w:val="18"/>
                <w:szCs w:val="24"/>
              </w:rPr>
              <w:t>租赁》</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4</w:t>
            </w:r>
            <w:r>
              <w:rPr>
                <w:rFonts w:hint="eastAsia"/>
                <w:sz w:val="18"/>
                <w:szCs w:val="24"/>
              </w:rPr>
              <w:t>月</w:t>
            </w:r>
            <w:r>
              <w:rPr>
                <w:rFonts w:hint="default"/>
                <w:sz w:val="18"/>
                <w:szCs w:val="24"/>
              </w:rPr>
              <w:t>27</w:t>
            </w:r>
            <w:r>
              <w:rPr>
                <w:rFonts w:hint="eastAsia"/>
                <w:sz w:val="18"/>
                <w:szCs w:val="24"/>
              </w:rPr>
              <w:t>日公司第四届董事会第二次会议决议、第四届监事会第二次会议决议</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无</w:t>
            </w:r>
          </w:p>
        </w:tc>
      </w:tr>
    </w:tbl>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说明:</w:t>
      </w:r>
    </w:p>
    <w:p>
      <w:pPr>
        <w:autoSpaceDE w:val="0"/>
        <w:autoSpaceDN w:val="0"/>
        <w:adjustRightInd w:val="0"/>
        <w:spacing w:before="30" w:beforeLines="0" w:after="0" w:afterLines="0"/>
        <w:ind w:firstLine="436"/>
        <w:rPr>
          <w:rFonts w:hint="eastAsia" w:ascii="宋体"/>
          <w:sz w:val="21"/>
          <w:szCs w:val="24"/>
          <w:lang w:val="zh-CN"/>
        </w:rPr>
      </w:pPr>
      <w:r>
        <w:rPr>
          <w:rFonts w:hint="eastAsia" w:ascii="宋体"/>
          <w:sz w:val="21"/>
          <w:szCs w:val="24"/>
          <w:lang w:val="zh-CN"/>
        </w:rPr>
        <w:t>（1）财政部于2018年度修订了《企业会计准则第21号</w:t>
      </w:r>
      <w:r>
        <w:rPr>
          <w:rFonts w:hint="default"/>
          <w:sz w:val="21"/>
          <w:szCs w:val="24"/>
          <w:lang w:val="zh-CN"/>
        </w:rPr>
        <w:t>——</w:t>
      </w:r>
      <w:r>
        <w:rPr>
          <w:rFonts w:hint="eastAsia" w:ascii="宋体"/>
          <w:sz w:val="21"/>
          <w:szCs w:val="24"/>
          <w:lang w:val="zh-CN"/>
        </w:rPr>
        <w:t>租赁》（简称“新租赁准则”），本公司自2021年1月1日起施行。根据准则规定，对于首次执行日（即2021年1月1日）前已存在的合同，本公司在首次执行日选择不重新评估其是否为租赁或者包含租赁。</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①本公司作为承租人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本公司选择根据首次执行新租赁准则的累积影响数，调整首次执行新租赁准则当年年初留存收益及财务报表其他相关项目金额，不调整可比期间信息。</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对于首次执行日前已存在的融资租赁，本公司在首次执行日按照融资租入资产和应付融资租赁款的原账面价值，分别计量使用权资产和租赁负债。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对于首次执行日前已存在的经营租赁，本公司在首次执行日根据剩余租赁付款额按首次执行日本公司的增量借款利率折现的现值计量租赁负债。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对首次执行日之前租赁资产属于低价值资产的经营租赁或将于12个月内完成的经营租赁，采用简化处理，未确认使用权资产和租赁负债。此外，本公司对于首次执行日之前的经营租赁，采用了下列简化处理：1)计量租赁负债时，具有相似特征的租赁采用同一折现率；使用权资产的计量不包含初始直接费用；2)存在续租选择权或终止租赁选择权的，本公司根据首次执行日前选择权的实际行使及其他最新情况确定租赁期，不对首次执行日前各期间是否合理确定行使续租选择权或终止租赁选择权进行估计；3)作为使用权资产减值测试的替代，本公司根据《企业会计准则第13号</w:t>
      </w:r>
      <w:r>
        <w:rPr>
          <w:rFonts w:hint="default"/>
          <w:sz w:val="21"/>
          <w:szCs w:val="24"/>
          <w:lang w:val="zh-CN"/>
        </w:rPr>
        <w:t>——</w:t>
      </w:r>
      <w:r>
        <w:rPr>
          <w:rFonts w:hint="eastAsia" w:ascii="宋体"/>
          <w:sz w:val="21"/>
          <w:szCs w:val="24"/>
          <w:lang w:val="zh-CN"/>
        </w:rPr>
        <w:t>或有事项》评估包含租赁的合同在首次执行日前是否为亏损合同，并根据首次执行日前计入资产负债表的亏损准备金额调整使用权资产；4)首次执行新租赁准则当年年初之前发生的租赁变更，本公司不进行追溯调整，根据租赁变更的最终安排，按照新租赁准则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②本公司作为出租人</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对于首次执行日前划分为经营租赁且在首次执行日后仍存续的转租赁，本公司在首次执行日基于原租赁和转租赁的剩余合同期限和条款进行重新评估，并按照新租赁准则的规定进行分类。重分类为融资租赁的，本公司将其作为一项新的融资租赁进行会计处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除转租赁外，本公司无需对其作为出租人的租赁调整首次执行新租赁准则当年期初留存收益及财务报表其他相关项目金额。本公司自首次执行日起按照新租赁准则进行会计处理。</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（2）上述会计政策变更经本公司于 2021 年 4 月 27 日召开的第四届董事会第二次会议批准。</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（3）首次执行新租赁准则调整首次执行当年年初财务报表相关项目情况：</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无</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）重要会计估计变更</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w:t>
      </w:r>
      <w:r>
        <w:rPr>
          <w:rFonts w:hint="default"/>
          <w:sz w:val="21"/>
          <w:szCs w:val="24"/>
        </w:rPr>
        <w:t>2021</w:t>
      </w:r>
      <w:r>
        <w:rPr>
          <w:rFonts w:hint="eastAsia"/>
          <w:sz w:val="21"/>
          <w:szCs w:val="24"/>
        </w:rPr>
        <w:t>年起首次执行新租赁准则调整首次执行当年年初财务报表相关项目情况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是否需要调整年初资产负债表科目</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不需要调整年初资产负债表科目的原因说明</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本公司选择根据首次执行新租赁准则的累积影响数，调整首次执行新租赁准则当年年初留存收益及财务报表其他相关项目金额，不调整可比期间信息。</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w:t>
      </w:r>
      <w:r>
        <w:rPr>
          <w:rFonts w:hint="default"/>
          <w:sz w:val="21"/>
          <w:szCs w:val="24"/>
        </w:rPr>
        <w:t>2021</w:t>
      </w:r>
      <w:r>
        <w:rPr>
          <w:rFonts w:hint="eastAsia"/>
          <w:sz w:val="21"/>
          <w:szCs w:val="24"/>
        </w:rPr>
        <w:t>年起首次执行新租赁准则追溯调整前期比较数据说明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45</w:t>
      </w:r>
      <w:r>
        <w:rPr>
          <w:rFonts w:hint="eastAsia"/>
          <w:sz w:val="21"/>
          <w:szCs w:val="24"/>
        </w:rPr>
        <w:t>、其他</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6"/>
        <w:spacing w:beforeLines="0" w:afterLines="0"/>
        <w:outlineLvl w:val="1"/>
        <w:rPr>
          <w:rFonts w:hint="default"/>
          <w:sz w:val="24"/>
          <w:szCs w:val="24"/>
        </w:rPr>
      </w:pPr>
      <w:r>
        <w:rPr>
          <w:rFonts w:hint="eastAsia"/>
          <w:sz w:val="24"/>
          <w:szCs w:val="24"/>
        </w:rPr>
        <w:t>六、税项</w:t>
      </w:r>
    </w:p>
    <w:p>
      <w:pPr>
        <w:pStyle w:val="7"/>
        <w:spacing w:beforeLines="0" w:afterLines="0"/>
        <w:outlineLvl w:val="2"/>
        <w:rPr>
          <w:rFonts w:hint="default"/>
          <w:sz w:val="21"/>
          <w:szCs w:val="24"/>
        </w:rPr>
      </w:pPr>
      <w:r>
        <w:rPr>
          <w:rFonts w:hint="default"/>
          <w:sz w:val="21"/>
          <w:szCs w:val="24"/>
        </w:rPr>
        <w:t>1</w:t>
      </w:r>
      <w:r>
        <w:rPr>
          <w:rFonts w:hint="eastAsia"/>
          <w:sz w:val="21"/>
          <w:szCs w:val="24"/>
        </w:rPr>
        <w:t>、主要税种及税率</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税种</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计税依据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增值税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应纳税收入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13%</w:t>
            </w:r>
            <w:r>
              <w:rPr>
                <w:rFonts w:hint="eastAsia"/>
                <w:sz w:val="18"/>
                <w:szCs w:val="24"/>
              </w:rPr>
              <w:t>、</w:t>
            </w:r>
            <w:r>
              <w:rPr>
                <w:rFonts w:hint="default"/>
                <w:sz w:val="18"/>
                <w:szCs w:val="24"/>
              </w:rPr>
              <w:t>9%</w:t>
            </w:r>
            <w:r>
              <w:rPr>
                <w:rFonts w:hint="eastAsia"/>
                <w:sz w:val="18"/>
                <w:szCs w:val="24"/>
              </w:rPr>
              <w:t>、</w:t>
            </w:r>
            <w:r>
              <w:rPr>
                <w:rFonts w:hint="default"/>
                <w:sz w:val="18"/>
                <w:szCs w:val="24"/>
              </w:rPr>
              <w:t>6%</w:t>
            </w:r>
            <w:r>
              <w:rPr>
                <w:rFonts w:hint="eastAsia"/>
                <w:sz w:val="18"/>
                <w:szCs w:val="24"/>
              </w:rPr>
              <w:t>、</w:t>
            </w:r>
            <w:r>
              <w:rPr>
                <w:rFonts w:hint="default"/>
                <w:sz w:val="18"/>
                <w:szCs w:val="24"/>
              </w:rPr>
              <w:t>5%</w:t>
            </w:r>
            <w:r>
              <w:rPr>
                <w:rFonts w:hint="eastAsia"/>
                <w:sz w:val="18"/>
                <w:szCs w:val="24"/>
              </w:rPr>
              <w:t>、</w:t>
            </w:r>
            <w:r>
              <w:rPr>
                <w:rFonts w:hint="default"/>
                <w:sz w:val="18"/>
                <w:szCs w:val="24"/>
              </w:rPr>
              <w:t>3%</w:t>
            </w:r>
            <w:r>
              <w:rPr>
                <w:rFonts w:hint="eastAsia"/>
                <w:sz w:val="18"/>
                <w:szCs w:val="24"/>
              </w:rPr>
              <w:t>、</w:t>
            </w:r>
            <w:r>
              <w:rPr>
                <w:rFonts w:hint="default"/>
                <w:sz w:val="18"/>
                <w:szCs w:val="24"/>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城市维护建设税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企业所得税</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应纳税所得额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15%</w:t>
            </w:r>
            <w:r>
              <w:rPr>
                <w:rFonts w:hint="eastAsia"/>
                <w:sz w:val="18"/>
                <w:szCs w:val="24"/>
              </w:rPr>
              <w:t>、</w:t>
            </w:r>
            <w:r>
              <w:rPr>
                <w:rFonts w:hint="default"/>
                <w:sz w:val="18"/>
                <w:szCs w:val="24"/>
              </w:rPr>
              <w:t>20%</w:t>
            </w:r>
            <w:r>
              <w:rPr>
                <w:rFonts w:hint="eastAsia"/>
                <w:sz w:val="18"/>
                <w:szCs w:val="24"/>
              </w:rPr>
              <w:t>、</w:t>
            </w:r>
            <w:r>
              <w:rPr>
                <w:rFonts w:hint="default"/>
                <w:sz w:val="18"/>
                <w:szCs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教育费附加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地方教育费附加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地方水利建设基金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应交流转税额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0.5%</w:t>
            </w:r>
          </w:p>
        </w:tc>
      </w:tr>
    </w:tbl>
    <w:p>
      <w:pPr>
        <w:spacing w:beforeLines="0" w:afterLines="0"/>
        <w:jc w:val="left"/>
        <w:rPr>
          <w:rFonts w:hint="default"/>
          <w:sz w:val="18"/>
          <w:szCs w:val="24"/>
        </w:rPr>
      </w:pPr>
      <w:r>
        <w:rPr>
          <w:rFonts w:hint="eastAsia"/>
          <w:sz w:val="18"/>
          <w:szCs w:val="24"/>
        </w:rPr>
        <w:t>存在不同企业所得税税率纳税主体的，披露情况说明</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纳税主体名称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所得税税率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青岛伟隆五金机械有限公司、青岛即聚机电有限责任公司及青岛卓信检测技术有限公司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对小型微利企业年应纳税所得额不超过</w:t>
            </w:r>
            <w:r>
              <w:rPr>
                <w:rFonts w:hint="default"/>
                <w:sz w:val="18"/>
                <w:szCs w:val="24"/>
              </w:rPr>
              <w:t>100</w:t>
            </w:r>
            <w:r>
              <w:rPr>
                <w:rFonts w:hint="eastAsia"/>
                <w:sz w:val="18"/>
                <w:szCs w:val="24"/>
              </w:rPr>
              <w:t>万元的部分，减按</w:t>
            </w:r>
            <w:r>
              <w:rPr>
                <w:rFonts w:hint="default"/>
                <w:sz w:val="18"/>
                <w:szCs w:val="24"/>
              </w:rPr>
              <w:t>12.50%</w:t>
            </w:r>
            <w:r>
              <w:rPr>
                <w:rFonts w:hint="eastAsia"/>
                <w:sz w:val="18"/>
                <w:szCs w:val="24"/>
              </w:rPr>
              <w:t>计入应纳税所得额，按</w:t>
            </w:r>
            <w:r>
              <w:rPr>
                <w:rFonts w:hint="default"/>
                <w:sz w:val="18"/>
                <w:szCs w:val="24"/>
              </w:rPr>
              <w:t>20%</w:t>
            </w:r>
            <w:r>
              <w:rPr>
                <w:rFonts w:hint="eastAsia"/>
                <w:sz w:val="18"/>
                <w:szCs w:val="24"/>
              </w:rPr>
              <w:t>的税率缴纳企业所得税；对年应纳税所得额超过</w:t>
            </w:r>
            <w:r>
              <w:rPr>
                <w:rFonts w:hint="default"/>
                <w:sz w:val="18"/>
                <w:szCs w:val="24"/>
              </w:rPr>
              <w:t>100</w:t>
            </w:r>
            <w:r>
              <w:rPr>
                <w:rFonts w:hint="eastAsia"/>
                <w:sz w:val="18"/>
                <w:szCs w:val="24"/>
              </w:rPr>
              <w:t>万元但不超过</w:t>
            </w:r>
            <w:r>
              <w:rPr>
                <w:rFonts w:hint="default"/>
                <w:sz w:val="18"/>
                <w:szCs w:val="24"/>
              </w:rPr>
              <w:t>300</w:t>
            </w:r>
            <w:r>
              <w:rPr>
                <w:rFonts w:hint="eastAsia"/>
                <w:sz w:val="18"/>
                <w:szCs w:val="24"/>
              </w:rPr>
              <w:t>万元的部分，减按</w:t>
            </w:r>
            <w:r>
              <w:rPr>
                <w:rFonts w:hint="default"/>
                <w:sz w:val="18"/>
                <w:szCs w:val="24"/>
              </w:rPr>
              <w:t>50%</w:t>
            </w:r>
            <w:r>
              <w:rPr>
                <w:rFonts w:hint="eastAsia"/>
                <w:sz w:val="18"/>
                <w:szCs w:val="24"/>
              </w:rPr>
              <w:t>计入应纳税所得额，按</w:t>
            </w:r>
            <w:r>
              <w:rPr>
                <w:rFonts w:hint="default"/>
                <w:sz w:val="18"/>
                <w:szCs w:val="24"/>
              </w:rPr>
              <w:t>20%</w:t>
            </w:r>
            <w:r>
              <w:rPr>
                <w:rFonts w:hint="eastAsia"/>
                <w:sz w:val="18"/>
                <w:szCs w:val="24"/>
              </w:rPr>
              <w:t>的税率缴纳企业所得税。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 VALVE LLC</w:t>
            </w:r>
            <w:r>
              <w:rPr>
                <w:rFonts w:hint="eastAsia"/>
                <w:sz w:val="18"/>
                <w:szCs w:val="24"/>
              </w:rPr>
              <w:t>（美国公司）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超额累进税率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青岛伟隆阀门股份有限公司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15%</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、税收优惠</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公司2021年公司进行高新技术企业重新认定</w:t>
      </w:r>
      <w:r>
        <w:rPr>
          <w:rFonts w:hint="eastAsia" w:ascii="宋体"/>
          <w:color w:val="auto"/>
          <w:sz w:val="21"/>
          <w:szCs w:val="24"/>
          <w:lang w:val="zh-CN"/>
        </w:rPr>
        <w:t>，2021年</w:t>
      </w:r>
      <w:r>
        <w:rPr>
          <w:rFonts w:hint="eastAsia" w:ascii="宋体"/>
          <w:sz w:val="21"/>
          <w:szCs w:val="24"/>
          <w:lang w:val="zh-CN"/>
        </w:rPr>
        <w:t>12月14日，取得编号为GR202137101903的高新技术企业证书，自2021至2023年度执行15%的企业所得税率。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公司子公司莱州伟隆阀门有限公司2019年11月28日被认定为高新技术企业，取得编号为GR201937000844的高新技术企业证书，自2019至2021年度执行15%的企业所得税率。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国家税务总局关于小规模纳税人免征增值税政策有关征管问题的公告》（国家税务总局公告2019年第4号）“一、小规模纳税人发生增值税应税销售行为，合计月销售额未超过10万元（以1个季度为1个纳税期的，季度销售额未超过30万元）的，免征增值税。” 公司子公司青岛伟隆五金机械有限公司、青岛即聚机电有限责任公司符合相关标准，免征增值税。</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《财政部 税务总局关于延续实施应对疫情部分税费优惠政策的公告》（财政部 税务总局公告2021年第7号）：</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为进一步支持疫情防控，帮助企业纾困发展，现将有关税费政策公告如下：</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财政部税务总局公告2020年第13号）规定的税收优惠政策，执行期限延长至2021年12月31日。《财政部税务总局关于支持个体工商户复工复业增值税政策的公告》（财政部税务总局公告2020年第25号）规定的税费优惠政策凡已经到期的，执行期限延长至2021年12月31日；除湖北省外，其他省、自治区、直辖市的增值税小规模纳税人，适用3%征收率的应税销售收入，减按1%征收率征收增值税；适用3%预征率的预缴增值税项目，减按1%预征率预缴增值税。</w:t>
      </w:r>
    </w:p>
    <w:p>
      <w:pPr>
        <w:pStyle w:val="7"/>
        <w:spacing w:beforeLines="0" w:afterLines="0"/>
        <w:outlineLvl w:val="2"/>
        <w:rPr>
          <w:rFonts w:hint="default"/>
          <w:sz w:val="21"/>
          <w:szCs w:val="24"/>
        </w:rPr>
      </w:pPr>
      <w:r>
        <w:rPr>
          <w:rFonts w:hint="default"/>
          <w:sz w:val="21"/>
          <w:szCs w:val="24"/>
        </w:rPr>
        <w:t>3</w:t>
      </w:r>
      <w:r>
        <w:rPr>
          <w:rFonts w:hint="eastAsia"/>
          <w:sz w:val="21"/>
          <w:szCs w:val="24"/>
        </w:rPr>
        <w:t>、其他</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无</w:t>
      </w:r>
    </w:p>
    <w:p>
      <w:pPr>
        <w:pStyle w:val="6"/>
        <w:spacing w:beforeLines="0" w:afterLines="0"/>
        <w:outlineLvl w:val="1"/>
        <w:rPr>
          <w:rFonts w:hint="default"/>
          <w:sz w:val="24"/>
          <w:szCs w:val="24"/>
        </w:rPr>
      </w:pPr>
      <w:r>
        <w:rPr>
          <w:rFonts w:hint="eastAsia"/>
          <w:sz w:val="24"/>
          <w:szCs w:val="24"/>
        </w:rPr>
        <w:t>七、合并财务报表项目注释</w:t>
      </w:r>
    </w:p>
    <w:p>
      <w:pPr>
        <w:pStyle w:val="7"/>
        <w:spacing w:beforeLines="0" w:afterLines="0"/>
        <w:outlineLvl w:val="2"/>
        <w:rPr>
          <w:rFonts w:hint="default"/>
          <w:sz w:val="21"/>
          <w:szCs w:val="24"/>
        </w:rPr>
      </w:pPr>
      <w:r>
        <w:rPr>
          <w:rFonts w:hint="default"/>
          <w:sz w:val="21"/>
          <w:szCs w:val="24"/>
        </w:rPr>
        <w:t>1</w:t>
      </w:r>
      <w:r>
        <w:rPr>
          <w:rFonts w:hint="eastAsia"/>
          <w:sz w:val="21"/>
          <w:szCs w:val="24"/>
        </w:rPr>
        <w:t>、货币资金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库存现金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1,416,007.24</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88,655.07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银行存款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79,575,561.48</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43,561,647.89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其他货币资金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15,525,084.25</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14,065,013.08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96,516,652.97</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57,715,316.04</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（2）其他货币资金按明细项目列示：</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20"/>
        <w:gridCol w:w="3007"/>
        <w:gridCol w:w="3005"/>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项目</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期末余额</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银行承兑汇票保证金</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15,520,177.95 </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14,056,323.22</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保函保证金</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4,906.30 </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8,689.86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15,525,084.25  </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14,065,013.08</w:t>
            </w:r>
          </w:p>
        </w:tc>
      </w:tr>
    </w:tbl>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（3）因抵押、质押或冻结等对使用有限制的货币资金明细如下：</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20"/>
        <w:gridCol w:w="3005"/>
        <w:gridCol w:w="3007"/>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ind w:firstLine="1003"/>
              <w:rPr>
                <w:rFonts w:hint="eastAsia" w:ascii="宋体"/>
                <w:b/>
                <w:sz w:val="18"/>
                <w:szCs w:val="24"/>
                <w:lang w:val="zh-CN"/>
              </w:rPr>
            </w:pPr>
            <w:r>
              <w:rPr>
                <w:rFonts w:hint="eastAsia" w:ascii="宋体"/>
                <w:b/>
                <w:sz w:val="18"/>
                <w:szCs w:val="24"/>
                <w:lang w:val="zh-CN"/>
              </w:rPr>
              <w:t>项目</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期末余额</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银行承兑汇票保证金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15,520,177.95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14,056,323.22</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保函保证金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4,906.30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8,689.86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诉讼冻结资金</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2,392,890.41</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2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300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15,525,084.25  </w:t>
            </w:r>
          </w:p>
        </w:tc>
        <w:tc>
          <w:tcPr>
            <w:tcW w:w="300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16,457,903.49</w:t>
            </w:r>
          </w:p>
        </w:tc>
      </w:tr>
    </w:tbl>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除上述款项,报告期内无其他因抵押、质押或冻结等对使用有限制、存放在境外、有潜在回收风险的款项。</w:t>
      </w:r>
    </w:p>
    <w:p>
      <w:pPr>
        <w:pStyle w:val="7"/>
        <w:spacing w:beforeLines="0" w:afterLines="0"/>
        <w:outlineLvl w:val="2"/>
        <w:rPr>
          <w:rFonts w:hint="default"/>
          <w:sz w:val="21"/>
          <w:szCs w:val="24"/>
        </w:rPr>
      </w:pPr>
      <w:r>
        <w:rPr>
          <w:rFonts w:hint="default"/>
          <w:sz w:val="21"/>
          <w:szCs w:val="24"/>
        </w:rPr>
        <w:t>2</w:t>
      </w:r>
      <w:r>
        <w:rPr>
          <w:rFonts w:hint="eastAsia"/>
          <w:sz w:val="21"/>
          <w:szCs w:val="24"/>
        </w:rPr>
        <w:t>、交易性金融资产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以公允价值计量且其变动计入当期损益的金融资产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334,004,283.96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 xml:space="preserve">         </w:t>
            </w:r>
            <w:r>
              <w:rPr>
                <w:rFonts w:hint="eastAsia"/>
                <w:sz w:val="18"/>
                <w:szCs w:val="24"/>
              </w:rPr>
              <w:t>理财类产品</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334,004,283.96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188,606,030.67</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334,004,283.96</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、衍生金融资产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w:t>
      </w:r>
      <w:r>
        <w:rPr>
          <w:rFonts w:hint="eastAsia"/>
          <w:sz w:val="21"/>
          <w:szCs w:val="24"/>
        </w:rPr>
        <w:t>、应收票据</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）应收票据分类列示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763"/>
        <w:gridCol w:w="762"/>
        <w:gridCol w:w="762"/>
        <w:gridCol w:w="763"/>
        <w:gridCol w:w="789"/>
        <w:gridCol w:w="776"/>
        <w:gridCol w:w="797"/>
        <w:gridCol w:w="930"/>
        <w:gridCol w:w="798"/>
        <w:gridCol w:w="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7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7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79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bl>
    <w:p>
      <w:pPr>
        <w:spacing w:beforeLines="0" w:afterLines="0"/>
        <w:jc w:val="left"/>
        <w:rPr>
          <w:rFonts w:hint="default"/>
          <w:sz w:val="18"/>
          <w:szCs w:val="24"/>
        </w:rPr>
      </w:pPr>
      <w:r>
        <w:rPr>
          <w:rFonts w:hint="eastAsia"/>
          <w:sz w:val="18"/>
          <w:szCs w:val="24"/>
        </w:rPr>
        <w:t>按单项计提坏账准备：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计提理由</w:t>
            </w:r>
          </w:p>
        </w:tc>
      </w:tr>
    </w:tbl>
    <w:p>
      <w:pPr>
        <w:spacing w:beforeLines="0" w:afterLines="0"/>
        <w:jc w:val="left"/>
        <w:rPr>
          <w:rFonts w:hint="default"/>
          <w:sz w:val="18"/>
          <w:szCs w:val="24"/>
        </w:rPr>
      </w:pPr>
      <w:r>
        <w:rPr>
          <w:rFonts w:hint="eastAsia"/>
          <w:sz w:val="18"/>
          <w:szCs w:val="24"/>
        </w:rPr>
        <w:t>按组合计提坏账准备：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r>
    </w:tbl>
    <w:p>
      <w:pPr>
        <w:spacing w:beforeLines="0" w:afterLines="0"/>
        <w:jc w:val="left"/>
        <w:rPr>
          <w:rFonts w:hint="default"/>
          <w:sz w:val="18"/>
          <w:szCs w:val="24"/>
        </w:rPr>
      </w:pPr>
      <w:r>
        <w:rPr>
          <w:rFonts w:hint="eastAsia"/>
          <w:sz w:val="18"/>
          <w:szCs w:val="24"/>
        </w:rPr>
        <w:t>确定该组合依据的说明：</w:t>
      </w:r>
    </w:p>
    <w:p>
      <w:pPr>
        <w:spacing w:beforeLines="0" w:afterLines="0"/>
        <w:jc w:val="left"/>
        <w:rPr>
          <w:rFonts w:hint="default"/>
          <w:sz w:val="18"/>
          <w:szCs w:val="24"/>
        </w:rPr>
      </w:pPr>
      <w:r>
        <w:rPr>
          <w:rFonts w:hint="eastAsia"/>
          <w:sz w:val="18"/>
          <w:szCs w:val="24"/>
        </w:rPr>
        <w:t>如是按照预期信用损失一般模型计提应收票据坏账准备，请参照其他应收款的披露方式披露坏账准备的相关信息：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bl>
    <w:p>
      <w:pPr>
        <w:spacing w:beforeLines="0" w:afterLines="0"/>
        <w:jc w:val="left"/>
        <w:rPr>
          <w:rFonts w:hint="default"/>
          <w:sz w:val="18"/>
          <w:szCs w:val="24"/>
        </w:rPr>
      </w:pPr>
      <w:r>
        <w:rPr>
          <w:rFonts w:hint="eastAsia"/>
          <w:sz w:val="18"/>
          <w:szCs w:val="24"/>
        </w:rPr>
        <w:t>其中本期坏账准备收回或转回金额重要的：</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）期末公司已质押的应收票据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期末已质押金额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）期末公司已背书或贴现且在资产负债表日尚未到期的应收票据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期末终止确认金额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期末未终止确认金额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）期末公司因出票人未履约而将其转应收账款的票据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期末转应收账款金额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）本期实际核销的应收票据情况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其中重要的应收票据核销情况：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应收票据性质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应收票据核销说明：</w:t>
      </w:r>
    </w:p>
    <w:p>
      <w:pPr>
        <w:pStyle w:val="7"/>
        <w:spacing w:beforeLines="0" w:afterLines="0"/>
        <w:outlineLvl w:val="2"/>
        <w:rPr>
          <w:rFonts w:hint="default"/>
          <w:sz w:val="21"/>
          <w:szCs w:val="24"/>
        </w:rPr>
      </w:pPr>
      <w:r>
        <w:rPr>
          <w:rFonts w:hint="default"/>
          <w:sz w:val="21"/>
          <w:szCs w:val="24"/>
        </w:rPr>
        <w:t>5</w:t>
      </w:r>
      <w:r>
        <w:rPr>
          <w:rFonts w:hint="eastAsia"/>
          <w:sz w:val="21"/>
          <w:szCs w:val="24"/>
        </w:rPr>
        <w:t>、应收账款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）应收账款分类披露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763"/>
        <w:gridCol w:w="762"/>
        <w:gridCol w:w="762"/>
        <w:gridCol w:w="763"/>
        <w:gridCol w:w="789"/>
        <w:gridCol w:w="776"/>
        <w:gridCol w:w="797"/>
        <w:gridCol w:w="798"/>
        <w:gridCol w:w="790"/>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9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9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按组合计提坏账准备的应收账款</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79,110,419.14</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9.17%</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71,854,562.96</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55,822,700.10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4,978,758.69</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w:t>
            </w: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50,843,941.41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79,110,419.14</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9.17%</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71,854,562.96</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55,822,700.10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4,978,758.69</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w:t>
            </w:r>
          </w:p>
        </w:tc>
        <w:tc>
          <w:tcPr>
            <w:tcW w:w="9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50,843,941.41</w:t>
            </w:r>
          </w:p>
        </w:tc>
      </w:tr>
    </w:tbl>
    <w:p>
      <w:pPr>
        <w:spacing w:beforeLines="0" w:afterLines="0"/>
        <w:jc w:val="left"/>
        <w:rPr>
          <w:rFonts w:hint="default"/>
          <w:sz w:val="18"/>
          <w:szCs w:val="24"/>
        </w:rPr>
      </w:pPr>
      <w:r>
        <w:rPr>
          <w:rFonts w:hint="eastAsia"/>
          <w:sz w:val="18"/>
          <w:szCs w:val="24"/>
        </w:rPr>
        <w:t>按单项计提坏账准备：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计提理由</w:t>
            </w:r>
          </w:p>
        </w:tc>
      </w:tr>
    </w:tbl>
    <w:p>
      <w:pPr>
        <w:spacing w:beforeLines="0" w:afterLines="0"/>
        <w:jc w:val="left"/>
        <w:rPr>
          <w:rFonts w:hint="default"/>
          <w:sz w:val="18"/>
          <w:szCs w:val="24"/>
        </w:rPr>
      </w:pPr>
      <w:r>
        <w:rPr>
          <w:rFonts w:hint="eastAsia"/>
          <w:sz w:val="18"/>
          <w:szCs w:val="24"/>
        </w:rPr>
        <w:t>按组合计提坏账准备：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70,397,990.80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3,519,899.54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年（含</w:t>
            </w:r>
            <w:r>
              <w:rPr>
                <w:rFonts w:hint="default"/>
                <w:sz w:val="18"/>
                <w:szCs w:val="24"/>
              </w:rPr>
              <w:t>2</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2,607,593.29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260,759.33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年（含</w:t>
            </w:r>
            <w:r>
              <w:rPr>
                <w:rFonts w:hint="default"/>
                <w:sz w:val="18"/>
                <w:szCs w:val="24"/>
              </w:rPr>
              <w:t>3</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2,181,321.94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654,396.58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至</w:t>
            </w:r>
            <w:r>
              <w:rPr>
                <w:rFonts w:hint="default"/>
                <w:sz w:val="18"/>
                <w:szCs w:val="24"/>
              </w:rPr>
              <w:t>4</w:t>
            </w:r>
            <w:r>
              <w:rPr>
                <w:rFonts w:hint="eastAsia"/>
                <w:sz w:val="18"/>
                <w:szCs w:val="24"/>
              </w:rPr>
              <w:t>年（含</w:t>
            </w:r>
            <w:r>
              <w:rPr>
                <w:rFonts w:hint="default"/>
                <w:sz w:val="18"/>
                <w:szCs w:val="24"/>
              </w:rPr>
              <w:t>4</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2,066,997.01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1,033,498.51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至</w:t>
            </w:r>
            <w:r>
              <w:rPr>
                <w:rFonts w:hint="default"/>
                <w:sz w:val="18"/>
                <w:szCs w:val="24"/>
              </w:rPr>
              <w:t>5</w:t>
            </w:r>
            <w:r>
              <w:rPr>
                <w:rFonts w:hint="eastAsia"/>
                <w:sz w:val="18"/>
                <w:szCs w:val="24"/>
              </w:rPr>
              <w:t>年（含</w:t>
            </w:r>
            <w:r>
              <w:rPr>
                <w:rFonts w:hint="default"/>
                <w:sz w:val="18"/>
                <w:szCs w:val="24"/>
              </w:rPr>
              <w:t>5</w:t>
            </w:r>
            <w:r>
              <w:rPr>
                <w:rFonts w:hint="eastAsia"/>
                <w:sz w:val="18"/>
                <w:szCs w:val="24"/>
              </w:rPr>
              <w:t>年）</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346,069.40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276,855.52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年以上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1,510,446.70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1,510,446.70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79,110,419.14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确定该组合依据的说明：</w:t>
      </w:r>
    </w:p>
    <w:p>
      <w:pPr>
        <w:spacing w:beforeLines="0" w:afterLines="0"/>
        <w:jc w:val="left"/>
        <w:rPr>
          <w:rFonts w:hint="default"/>
          <w:sz w:val="18"/>
          <w:szCs w:val="24"/>
        </w:rPr>
      </w:pPr>
      <w:r>
        <w:rPr>
          <w:rFonts w:hint="eastAsia"/>
          <w:sz w:val="18"/>
          <w:szCs w:val="24"/>
        </w:rPr>
        <w:t>按组合计提坏账准备：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r>
    </w:tbl>
    <w:p>
      <w:pPr>
        <w:spacing w:beforeLines="0" w:afterLines="0"/>
        <w:jc w:val="left"/>
        <w:rPr>
          <w:rFonts w:hint="default"/>
          <w:sz w:val="18"/>
          <w:szCs w:val="24"/>
        </w:rPr>
      </w:pPr>
      <w:r>
        <w:rPr>
          <w:rFonts w:hint="eastAsia"/>
          <w:sz w:val="18"/>
          <w:szCs w:val="24"/>
        </w:rPr>
        <w:t>确定该组合依据的说明：</w:t>
      </w:r>
    </w:p>
    <w:p>
      <w:pPr>
        <w:spacing w:beforeLines="0" w:afterLines="0"/>
        <w:jc w:val="left"/>
        <w:rPr>
          <w:rFonts w:hint="default"/>
          <w:sz w:val="18"/>
          <w:szCs w:val="24"/>
        </w:rPr>
      </w:pPr>
      <w:r>
        <w:rPr>
          <w:rFonts w:hint="eastAsia"/>
          <w:sz w:val="18"/>
          <w:szCs w:val="24"/>
        </w:rPr>
        <w:t>如是按照预期信用损失一般模型计提应收账款坏账准备，请参照其他应收款的披露方式披露坏账准备的相关信息：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按账龄披露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70,397,990.80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2,607,593.29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2,181,321.94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3,923,513.11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至</w:t>
            </w:r>
            <w:r>
              <w:rPr>
                <w:rFonts w:hint="default"/>
                <w:sz w:val="18"/>
                <w:szCs w:val="24"/>
              </w:rPr>
              <w:t>4</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2,066,997.01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346,069.40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1,510,446.70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79,110,419.14</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按单项计提坏账准备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按组合计提坏账准备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4,978,758.69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2,277,097.49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4,978,758.69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2,277,097.49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7,255,856.18</w:t>
            </w:r>
          </w:p>
        </w:tc>
      </w:tr>
    </w:tbl>
    <w:p>
      <w:pPr>
        <w:spacing w:beforeLines="0" w:afterLines="0"/>
        <w:jc w:val="left"/>
        <w:rPr>
          <w:rFonts w:hint="default"/>
          <w:sz w:val="18"/>
          <w:szCs w:val="24"/>
        </w:rPr>
      </w:pPr>
      <w:r>
        <w:rPr>
          <w:rFonts w:hint="eastAsia"/>
          <w:sz w:val="18"/>
          <w:szCs w:val="24"/>
        </w:rPr>
        <w:t>其中本期坏账准备收回或转回金额重要的：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收回方式</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）本期实际核销的应收账款情况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其中重要的应收账款核销情况：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应收账款性质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应收账款核销说明：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）按欠款方归集的期末余额前五名的应收账款情况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1"/>
        <w:gridCol w:w="2529"/>
        <w:gridCol w:w="2529"/>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应收账款期末余额</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占应收账款期末余额合计数的比例</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9,952,541.72</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12.58%</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497,627.09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6,207,924.47</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7.85%</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310,396.22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4,933,895.12</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6.24%</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246,694.76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客户四</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2,831,532.97</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3.58%</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141,576.65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客户五</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2,619,117.22</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3.31%</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130,955.86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8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26,545,011.50</w:t>
            </w:r>
          </w:p>
        </w:tc>
        <w:tc>
          <w:tcPr>
            <w:tcW w:w="252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33.56%</w:t>
            </w:r>
          </w:p>
        </w:tc>
        <w:tc>
          <w:tcPr>
            <w:tcW w:w="25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）转移应收账款且继续涉入形成的资产、负债金额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）因金融资产转移而终止确认的应收账款</w:t>
      </w:r>
    </w:p>
    <w:p>
      <w:pPr>
        <w:pStyle w:val="7"/>
        <w:spacing w:beforeLines="0" w:afterLines="0"/>
        <w:outlineLvl w:val="2"/>
        <w:rPr>
          <w:rFonts w:hint="default"/>
          <w:sz w:val="21"/>
          <w:szCs w:val="24"/>
        </w:rPr>
      </w:pPr>
      <w:r>
        <w:rPr>
          <w:rFonts w:hint="default"/>
          <w:sz w:val="21"/>
          <w:szCs w:val="24"/>
        </w:rPr>
        <w:t>6</w:t>
      </w:r>
      <w:r>
        <w:rPr>
          <w:rFonts w:hint="eastAsia"/>
          <w:sz w:val="21"/>
          <w:szCs w:val="24"/>
        </w:rPr>
        <w:t>、应收款项融资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以公允价值计量且其变动计入其他综合收益的应收账款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以公允价值计量且其变动计入其他综合收益的应收票据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888,430.46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11,585,000.00</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888,430.46</w:t>
            </w:r>
          </w:p>
        </w:tc>
      </w:tr>
    </w:tbl>
    <w:p>
      <w:pPr>
        <w:spacing w:beforeLines="0" w:afterLines="0"/>
        <w:jc w:val="left"/>
        <w:rPr>
          <w:rFonts w:hint="default"/>
          <w:sz w:val="18"/>
          <w:szCs w:val="24"/>
        </w:rPr>
      </w:pPr>
      <w:r>
        <w:rPr>
          <w:rFonts w:hint="eastAsia"/>
          <w:sz w:val="18"/>
          <w:szCs w:val="24"/>
        </w:rPr>
        <w:t>应收款项融资本期增减变动及公允价值变动情况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如是按照预期信用损失一般模型计提应收款项融资减值准备，请参照其他应收款的披露方式披露减值准备的相关信息：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（2）期末公司已背书或贴现且在资产负债表日尚未到期的应收款项融资：</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909"/>
        <w:gridCol w:w="3017"/>
        <w:gridCol w:w="3015"/>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项目</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期末终止确认金额</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期末未终止确认金额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银行承兑汇票</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4,300,027.54 </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909"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3017"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     4,300,027.54 </w:t>
            </w:r>
          </w:p>
        </w:tc>
        <w:tc>
          <w:tcPr>
            <w:tcW w:w="301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p>
        </w:tc>
      </w:tr>
    </w:tbl>
    <w:p>
      <w:pPr>
        <w:pStyle w:val="7"/>
        <w:spacing w:beforeLines="0" w:afterLines="0"/>
        <w:outlineLvl w:val="2"/>
        <w:rPr>
          <w:rFonts w:hint="default"/>
          <w:sz w:val="21"/>
          <w:szCs w:val="24"/>
        </w:rPr>
      </w:pPr>
      <w:r>
        <w:rPr>
          <w:rFonts w:hint="default"/>
          <w:sz w:val="21"/>
          <w:szCs w:val="24"/>
        </w:rPr>
        <w:t>7</w:t>
      </w:r>
      <w:r>
        <w:rPr>
          <w:rFonts w:hint="eastAsia"/>
          <w:sz w:val="21"/>
          <w:szCs w:val="24"/>
        </w:rPr>
        <w:t>、预付款项</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）预付款项按账龄列示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5"/>
        <w:gridCol w:w="1914"/>
        <w:gridCol w:w="1914"/>
        <w:gridCol w:w="1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38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9"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3,528,029.53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97.57%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1,600,342.38</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442,881.47</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47,760.00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43,176.77</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40,000.00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3,615,789.53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2,086,400.62</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账龄超过</w:t>
      </w:r>
      <w:r>
        <w:rPr>
          <w:rFonts w:hint="default"/>
          <w:sz w:val="18"/>
          <w:szCs w:val="24"/>
        </w:rPr>
        <w:t>1</w:t>
      </w:r>
      <w:r>
        <w:rPr>
          <w:rFonts w:hint="eastAsia"/>
          <w:sz w:val="18"/>
          <w:szCs w:val="24"/>
        </w:rPr>
        <w:t>年且金额重要的预付款项未及时结算原因的说明：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）按预付对象归集的期末余额前五名的预付款情况</w:t>
      </w:r>
    </w:p>
    <w:tbl>
      <w:tblPr>
        <w:tblStyle w:val="4"/>
        <w:tblW w:w="0" w:type="auto"/>
        <w:tblInd w:w="10" w:type="dxa"/>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Layout w:type="fixed"/>
        <w:tblCellMar>
          <w:top w:w="10" w:type="dxa"/>
          <w:left w:w="10" w:type="dxa"/>
          <w:bottom w:w="10" w:type="dxa"/>
          <w:right w:w="10" w:type="dxa"/>
        </w:tblCellMar>
      </w:tblPr>
      <w:tblGrid>
        <w:gridCol w:w="2977"/>
        <w:gridCol w:w="1559"/>
        <w:gridCol w:w="1134"/>
        <w:gridCol w:w="1418"/>
        <w:gridCol w:w="1843"/>
      </w:tblGrid>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单位名称</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金额</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年限</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占预付款项总 额的比例（%）</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未结算原因</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供应商一</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1,789,986.77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49.50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供应商二</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419,999.99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11.62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供应商三</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517,696.81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14.32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供应商四</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271,895.57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7.52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供应商五</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101,190.00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1年以内</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2.80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未到结算期</w:t>
            </w: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CellMar>
            <w:top w:w="10" w:type="dxa"/>
            <w:left w:w="10" w:type="dxa"/>
            <w:bottom w:w="10" w:type="dxa"/>
            <w:right w:w="10" w:type="dxa"/>
          </w:tblCellMar>
        </w:tblPrEx>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1559"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3,100,769.14 </w:t>
            </w:r>
          </w:p>
        </w:tc>
        <w:tc>
          <w:tcPr>
            <w:tcW w:w="1134"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w:t>
            </w:r>
          </w:p>
        </w:tc>
        <w:tc>
          <w:tcPr>
            <w:tcW w:w="1418"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85.76 </w:t>
            </w:r>
          </w:p>
        </w:tc>
        <w:tc>
          <w:tcPr>
            <w:tcW w:w="1843"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p>
        </w:tc>
      </w:tr>
      <w:tr>
        <w:tblPrEx>
          <w:tblBorders>
            <w:top w:val="single" w:color="auto" w:sz="12" w:space="0"/>
            <w:left w:val="single" w:color="auto" w:sz="6" w:space="0"/>
            <w:bottom w:val="single" w:color="auto" w:sz="12" w:space="0"/>
            <w:right w:val="single" w:color="auto" w:sz="6" w:space="0"/>
            <w:insideH w:val="single" w:color="auto" w:sz="12" w:space="0"/>
            <w:insideV w:val="single" w:color="auto" w:sz="6" w:space="0"/>
          </w:tblBorders>
        </w:tblPrEx>
        <w:trPr>
          <w:gridAfter w:val="4"/>
          <w:wAfter w:w="5954" w:type="dxa"/>
        </w:trPr>
        <w:tc>
          <w:tcPr>
            <w:tcW w:w="2977" w:type="dxa"/>
            <w:tcBorders>
              <w:top w:val="single" w:color="auto" w:sz="12" w:space="0"/>
              <w:left w:val="single" w:color="auto" w:sz="6" w:space="0"/>
              <w:bottom w:val="single" w:color="auto" w:sz="12" w:space="0"/>
              <w:right w:val="single" w:color="auto" w:sz="6" w:space="0"/>
              <w:tl2br w:val="nil"/>
              <w:tr2bl w:val="nil"/>
            </w:tcBorders>
            <w:noWrap w:val="0"/>
            <w:vAlign w:val="top"/>
          </w:tcPr>
          <w:p>
            <w:pPr>
              <w:autoSpaceDE w:val="0"/>
              <w:autoSpaceDN w:val="0"/>
              <w:adjustRightInd w:val="0"/>
              <w:spacing w:before="0" w:beforeLines="0" w:after="0" w:afterLines="0"/>
              <w:rPr>
                <w:rFonts w:hint="default" w:eastAsia="Times New Roman"/>
                <w:sz w:val="21"/>
                <w:szCs w:val="24"/>
                <w:lang w:val="zh-CN"/>
              </w:rPr>
            </w:pP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（3）报告期末预付款项中无预付持公司5%（含5%）以上表决权股份的股东单位的款项。</w:t>
      </w:r>
    </w:p>
    <w:p>
      <w:pPr>
        <w:pStyle w:val="7"/>
        <w:spacing w:beforeLines="0" w:afterLines="0"/>
        <w:outlineLvl w:val="2"/>
        <w:rPr>
          <w:rFonts w:hint="default"/>
          <w:sz w:val="21"/>
          <w:szCs w:val="24"/>
        </w:rPr>
      </w:pPr>
      <w:r>
        <w:rPr>
          <w:rFonts w:hint="default"/>
          <w:sz w:val="21"/>
          <w:szCs w:val="24"/>
        </w:rPr>
        <w:t>8</w:t>
      </w:r>
      <w:r>
        <w:rPr>
          <w:rFonts w:hint="eastAsia"/>
          <w:sz w:val="21"/>
          <w:szCs w:val="24"/>
        </w:rPr>
        <w:t>、其他应收款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其他应收款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6,012,212.39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4,492,285.68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6,012,212.39</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4,492,285.68</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）应收利息</w:t>
      </w:r>
    </w:p>
    <w:p>
      <w:pPr>
        <w:pStyle w:val="7"/>
        <w:spacing w:beforeLines="0" w:afterLines="0"/>
        <w:outlineLvl w:val="4"/>
        <w:rPr>
          <w:rFonts w:hint="default"/>
          <w:sz w:val="21"/>
          <w:szCs w:val="24"/>
        </w:rPr>
      </w:pPr>
      <w:r>
        <w:rPr>
          <w:rFonts w:hint="default"/>
          <w:sz w:val="21"/>
          <w:szCs w:val="24"/>
        </w:rPr>
        <w:t>1</w:t>
      </w:r>
      <w:r>
        <w:rPr>
          <w:rFonts w:hint="eastAsia"/>
          <w:sz w:val="21"/>
          <w:szCs w:val="24"/>
        </w:rPr>
        <w:t>）应收利息分类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）重要逾期利息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借款单位</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是否发生减值及其判断依据</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4"/>
        <w:rPr>
          <w:rFonts w:hint="default"/>
          <w:sz w:val="21"/>
          <w:szCs w:val="24"/>
        </w:rPr>
      </w:pPr>
      <w:r>
        <w:rPr>
          <w:rFonts w:hint="default"/>
          <w:sz w:val="21"/>
          <w:szCs w:val="24"/>
        </w:rPr>
        <w:t>3</w:t>
      </w:r>
      <w:r>
        <w:rPr>
          <w:rFonts w:hint="eastAsia"/>
          <w:sz w:val="21"/>
          <w:szCs w:val="24"/>
        </w:rPr>
        <w:t>）坏账准备计提情况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）应收股利</w:t>
      </w:r>
    </w:p>
    <w:p>
      <w:pPr>
        <w:pStyle w:val="7"/>
        <w:spacing w:beforeLines="0" w:afterLines="0"/>
        <w:outlineLvl w:val="4"/>
        <w:rPr>
          <w:rFonts w:hint="default"/>
          <w:sz w:val="21"/>
          <w:szCs w:val="24"/>
        </w:rPr>
      </w:pPr>
      <w:r>
        <w:rPr>
          <w:rFonts w:hint="default"/>
          <w:sz w:val="21"/>
          <w:szCs w:val="24"/>
        </w:rPr>
        <w:t>1</w:t>
      </w:r>
      <w:r>
        <w:rPr>
          <w:rFonts w:hint="eastAsia"/>
          <w:sz w:val="21"/>
          <w:szCs w:val="24"/>
        </w:rPr>
        <w:t>）应收股利分类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）重要的账龄超过</w:t>
      </w:r>
      <w:r>
        <w:rPr>
          <w:rFonts w:hint="default"/>
          <w:sz w:val="21"/>
          <w:szCs w:val="24"/>
        </w:rPr>
        <w:t>1</w:t>
      </w:r>
      <w:r>
        <w:rPr>
          <w:rFonts w:hint="eastAsia"/>
          <w:sz w:val="21"/>
          <w:szCs w:val="24"/>
        </w:rPr>
        <w:t>年的应收股利</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未收回的原因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是否发生减值及其判断依据</w:t>
            </w:r>
          </w:p>
        </w:tc>
      </w:tr>
    </w:tbl>
    <w:p>
      <w:pPr>
        <w:pStyle w:val="7"/>
        <w:spacing w:beforeLines="0" w:afterLines="0"/>
        <w:outlineLvl w:val="4"/>
        <w:rPr>
          <w:rFonts w:hint="default"/>
          <w:sz w:val="21"/>
          <w:szCs w:val="24"/>
        </w:rPr>
      </w:pPr>
      <w:r>
        <w:rPr>
          <w:rFonts w:hint="default"/>
          <w:sz w:val="21"/>
          <w:szCs w:val="24"/>
        </w:rPr>
        <w:t>3</w:t>
      </w:r>
      <w:r>
        <w:rPr>
          <w:rFonts w:hint="eastAsia"/>
          <w:sz w:val="21"/>
          <w:szCs w:val="24"/>
        </w:rPr>
        <w:t>）坏账准备计提情况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）其他应收款</w:t>
      </w:r>
    </w:p>
    <w:p>
      <w:pPr>
        <w:pStyle w:val="7"/>
        <w:spacing w:beforeLines="0" w:afterLines="0"/>
        <w:outlineLvl w:val="4"/>
        <w:rPr>
          <w:rFonts w:hint="default"/>
          <w:sz w:val="21"/>
          <w:szCs w:val="24"/>
        </w:rPr>
      </w:pPr>
      <w:r>
        <w:rPr>
          <w:rFonts w:hint="default"/>
          <w:sz w:val="21"/>
          <w:szCs w:val="24"/>
        </w:rPr>
        <w:t>1</w:t>
      </w:r>
      <w:r>
        <w:rPr>
          <w:rFonts w:hint="eastAsia"/>
          <w:sz w:val="21"/>
          <w:szCs w:val="24"/>
        </w:rPr>
        <w:t>）其他应收款按款项性质分类情况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款项性质</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出口退税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4,276,202.06</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2,833,151.23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380,767.91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790,230.53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往来及其他</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1,826,147.01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1,198,762.12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6,483,116.98</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4,822,143.88</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）坏账准备计提情况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329,858.20</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329,858.20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本期计提</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470,904.59</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470,904.59</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按账龄披露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5,408,142.23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944,974.75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6,483,116.98</w:t>
            </w:r>
          </w:p>
        </w:tc>
      </w:tr>
    </w:tbl>
    <w:p>
      <w:pPr>
        <w:pStyle w:val="7"/>
        <w:spacing w:beforeLines="0" w:afterLines="0"/>
        <w:outlineLvl w:val="4"/>
        <w:rPr>
          <w:rFonts w:hint="default"/>
          <w:sz w:val="21"/>
          <w:szCs w:val="24"/>
        </w:rPr>
      </w:pPr>
      <w:r>
        <w:rPr>
          <w:rFonts w:hint="default"/>
          <w:sz w:val="21"/>
          <w:szCs w:val="24"/>
        </w:rPr>
        <w:t>3</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5"/>
        <w:gridCol w:w="1098"/>
        <w:gridCol w:w="1194"/>
        <w:gridCol w:w="1303"/>
        <w:gridCol w:w="1092"/>
        <w:gridCol w:w="1736"/>
        <w:gridCol w:w="1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0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325"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73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9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73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按单项计提坏账准备</w:t>
            </w:r>
          </w:p>
        </w:tc>
        <w:tc>
          <w:tcPr>
            <w:tcW w:w="10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按组合计提坏账准备</w:t>
            </w:r>
          </w:p>
        </w:tc>
        <w:tc>
          <w:tcPr>
            <w:tcW w:w="10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329,858.20</w:t>
            </w: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470,904.59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0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329,858.20</w:t>
            </w:r>
          </w:p>
        </w:tc>
        <w:tc>
          <w:tcPr>
            <w:tcW w:w="11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c>
          <w:tcPr>
            <w:tcW w:w="130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7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470,904.59</w:t>
            </w:r>
          </w:p>
        </w:tc>
      </w:tr>
    </w:tbl>
    <w:p>
      <w:pPr>
        <w:spacing w:beforeLines="0" w:afterLines="0"/>
        <w:jc w:val="left"/>
        <w:rPr>
          <w:rFonts w:hint="default"/>
          <w:sz w:val="18"/>
          <w:szCs w:val="24"/>
        </w:rPr>
      </w:pPr>
      <w:r>
        <w:rPr>
          <w:rFonts w:hint="eastAsia"/>
          <w:sz w:val="18"/>
          <w:szCs w:val="24"/>
        </w:rPr>
        <w:t>其中本期坏账准备转回或收回金额重要的：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转回或收回金额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收回方式</w:t>
            </w:r>
          </w:p>
        </w:tc>
      </w:tr>
    </w:tbl>
    <w:p>
      <w:pPr>
        <w:pStyle w:val="7"/>
        <w:spacing w:beforeLines="0" w:afterLines="0"/>
        <w:outlineLvl w:val="4"/>
        <w:rPr>
          <w:rFonts w:hint="default"/>
          <w:sz w:val="21"/>
          <w:szCs w:val="24"/>
        </w:rPr>
      </w:pPr>
      <w:r>
        <w:rPr>
          <w:rFonts w:hint="default"/>
          <w:sz w:val="21"/>
          <w:szCs w:val="24"/>
        </w:rPr>
        <w:t>4</w:t>
      </w:r>
      <w:r>
        <w:rPr>
          <w:rFonts w:hint="eastAsia"/>
          <w:sz w:val="21"/>
          <w:szCs w:val="24"/>
        </w:rPr>
        <w:t>）本期实际核销的其他应收款情况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其中重要的其他应收款核销情况：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4"/>
        <w:gridCol w:w="1594"/>
        <w:gridCol w:w="1594"/>
        <w:gridCol w:w="1595"/>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其他应收款性质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其他应收款核销说明：</w:t>
      </w:r>
    </w:p>
    <w:p>
      <w:pPr>
        <w:pStyle w:val="7"/>
        <w:spacing w:beforeLines="0" w:afterLines="0"/>
        <w:outlineLvl w:val="4"/>
        <w:rPr>
          <w:rFonts w:hint="default"/>
          <w:sz w:val="21"/>
          <w:szCs w:val="24"/>
        </w:rPr>
      </w:pPr>
      <w:r>
        <w:rPr>
          <w:rFonts w:hint="default"/>
          <w:sz w:val="21"/>
          <w:szCs w:val="24"/>
        </w:rPr>
        <w:t>5</w:t>
      </w:r>
      <w:r>
        <w:rPr>
          <w:rFonts w:hint="eastAsia"/>
          <w:sz w:val="21"/>
          <w:szCs w:val="24"/>
        </w:rPr>
        <w:t>）按欠款方归集的期末余额前五名的其他应收款情况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4"/>
        <w:gridCol w:w="1594"/>
        <w:gridCol w:w="1594"/>
        <w:gridCol w:w="1595"/>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款项的性质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占其他应收款期末余额合计数的比例</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应收出口退税款</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出口退税款</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4,276,202.06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65.96%</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213,810.10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应收残疾人就业增值税优惠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往来及其他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1,826,147.01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28.17%</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137,147.35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0.93%</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0.77%</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6,302,349.07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97.22%</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360,957.45</w:t>
            </w:r>
          </w:p>
        </w:tc>
      </w:tr>
    </w:tbl>
    <w:p>
      <w:pPr>
        <w:pStyle w:val="7"/>
        <w:spacing w:beforeLines="0" w:afterLines="0"/>
        <w:outlineLvl w:val="4"/>
        <w:rPr>
          <w:rFonts w:hint="default"/>
          <w:sz w:val="21"/>
          <w:szCs w:val="24"/>
        </w:rPr>
      </w:pPr>
      <w:r>
        <w:rPr>
          <w:rFonts w:hint="default"/>
          <w:sz w:val="21"/>
          <w:szCs w:val="24"/>
        </w:rPr>
        <w:t>6</w:t>
      </w:r>
      <w:r>
        <w:rPr>
          <w:rFonts w:hint="eastAsia"/>
          <w:sz w:val="21"/>
          <w:szCs w:val="24"/>
        </w:rPr>
        <w:t>）涉及政府补助的应收款项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4"/>
        <w:gridCol w:w="1914"/>
        <w:gridCol w:w="1914"/>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政府补助项目名称</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期末账龄</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预计收取的时间、金额及依据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应收残疾人就业增值税优惠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残疾人即征即退增值税</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1,826,147.01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p>
        </w:tc>
      </w:tr>
    </w:tbl>
    <w:p>
      <w:pPr>
        <w:pStyle w:val="7"/>
        <w:spacing w:beforeLines="0" w:afterLines="0"/>
        <w:outlineLvl w:val="4"/>
        <w:rPr>
          <w:rFonts w:hint="default"/>
          <w:sz w:val="21"/>
          <w:szCs w:val="24"/>
        </w:rPr>
      </w:pPr>
      <w:r>
        <w:rPr>
          <w:rFonts w:hint="default"/>
          <w:sz w:val="21"/>
          <w:szCs w:val="24"/>
        </w:rPr>
        <w:t>7</w:t>
      </w:r>
      <w:r>
        <w:rPr>
          <w:rFonts w:hint="eastAsia"/>
          <w:sz w:val="21"/>
          <w:szCs w:val="24"/>
        </w:rPr>
        <w:t>）因金融资产转移而终止确认的其他应收款</w:t>
      </w:r>
    </w:p>
    <w:p>
      <w:pPr>
        <w:pStyle w:val="7"/>
        <w:spacing w:beforeLines="0" w:afterLines="0"/>
        <w:outlineLvl w:val="4"/>
        <w:rPr>
          <w:rFonts w:hint="default"/>
          <w:sz w:val="21"/>
          <w:szCs w:val="24"/>
        </w:rPr>
      </w:pPr>
      <w:r>
        <w:rPr>
          <w:rFonts w:hint="default"/>
          <w:sz w:val="21"/>
          <w:szCs w:val="24"/>
        </w:rPr>
        <w:t>8</w:t>
      </w:r>
      <w:r>
        <w:rPr>
          <w:rFonts w:hint="eastAsia"/>
          <w:sz w:val="21"/>
          <w:szCs w:val="24"/>
        </w:rPr>
        <w:t>）转移其他应收款且继续涉入形成的资产、负债金额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9</w:t>
      </w:r>
      <w:r>
        <w:rPr>
          <w:rFonts w:hint="eastAsia"/>
          <w:sz w:val="21"/>
          <w:szCs w:val="24"/>
        </w:rPr>
        <w:t>、存货</w:t>
      </w:r>
    </w:p>
    <w:p>
      <w:pPr>
        <w:spacing w:beforeLines="0" w:afterLines="0"/>
        <w:jc w:val="left"/>
        <w:rPr>
          <w:rFonts w:hint="default"/>
          <w:sz w:val="18"/>
          <w:szCs w:val="24"/>
        </w:rPr>
      </w:pPr>
      <w:r>
        <w:rPr>
          <w:rFonts w:hint="eastAsia"/>
          <w:sz w:val="18"/>
          <w:szCs w:val="24"/>
        </w:rPr>
        <w:t>公司是否需要遵守房地产行业的披露要求</w:t>
      </w:r>
    </w:p>
    <w:p>
      <w:pPr>
        <w:spacing w:beforeLines="0" w:afterLines="0"/>
        <w:jc w:val="left"/>
        <w:rPr>
          <w:rFonts w:hint="default"/>
          <w:sz w:val="18"/>
          <w:szCs w:val="24"/>
        </w:rPr>
      </w:pPr>
      <w:r>
        <w:rPr>
          <w:rFonts w:hint="eastAsia"/>
          <w:sz w:val="18"/>
          <w:szCs w:val="24"/>
        </w:rPr>
        <w:t>否</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）存货分类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存货跌价准备或合同履约成本减值准备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存货跌价准备或合同履约成本减值准备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原材料</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19,568,066.19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67,710.50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19,500,355.69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16,255,831.28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7,497.05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16,248,334.23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在产品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11,836,276.95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11,836,276.95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3,817,243.09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3,817,243.09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库存商品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29,253,554.96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1,866,813.06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27,386,741.90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20,044,219.59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978,500.30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19,065,719.29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周转材料</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12,604,986.27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12,604,986.27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8,797,814.33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8,797,814.33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发出商品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7,507,069.83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7,507,069.83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4,581,220.07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4,581,220.07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委托加工物资</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2,879,776.75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2,879,776.75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149,790.73</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149,790.73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自制半成品</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31,955,125.17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1,148,146.45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30,806,978.72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21,715,953.40</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157,688.79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21,558,264.61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115,604,856.12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3,082,670.01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112,522,186.11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75,362,072.49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1,143,686.14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74,218,386.35</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）存货跌价准备和合同履约成本减值准备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42"/>
        <w:gridCol w:w="1326"/>
        <w:gridCol w:w="870"/>
        <w:gridCol w:w="497"/>
        <w:gridCol w:w="1367"/>
        <w:gridCol w:w="659"/>
        <w:gridCol w:w="708"/>
        <w:gridCol w:w="1367"/>
        <w:gridCol w:w="662"/>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6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2734"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本期增加金额</w:t>
            </w:r>
          </w:p>
        </w:tc>
        <w:tc>
          <w:tcPr>
            <w:tcW w:w="2734"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本期减少金额</w:t>
            </w:r>
          </w:p>
        </w:tc>
        <w:tc>
          <w:tcPr>
            <w:tcW w:w="1367"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转回或转销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原材料</w:t>
            </w:r>
          </w:p>
        </w:tc>
        <w:tc>
          <w:tcPr>
            <w:tcW w:w="13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7,497.05</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66,207.59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5,994.14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67,710.50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库存商品</w:t>
            </w:r>
          </w:p>
        </w:tc>
        <w:tc>
          <w:tcPr>
            <w:tcW w:w="13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978,500.30</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1,275,858.54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387,545.78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1,866,813.06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自制半成品</w:t>
            </w:r>
          </w:p>
        </w:tc>
        <w:tc>
          <w:tcPr>
            <w:tcW w:w="13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157,688.79</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997,802.78</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7,345.12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1,148,146.45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8"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1,143,686.14</w:t>
            </w: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2,339,868.91</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400,885.04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gridSpan w:val="2"/>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3,082,670.01</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rPr>
          <w:gridAfter w:val="1"/>
          <w:wAfter w:w="705" w:type="dxa"/>
        </w:trPr>
        <w:tc>
          <w:tcPr>
            <w:tcW w:w="1410"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项目</w:t>
            </w:r>
          </w:p>
        </w:tc>
        <w:tc>
          <w:tcPr>
            <w:tcW w:w="2196"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计提存货跌价准备的依据</w:t>
            </w:r>
          </w:p>
        </w:tc>
        <w:tc>
          <w:tcPr>
            <w:tcW w:w="2523"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本期转回存货跌价准备的原因</w:t>
            </w:r>
          </w:p>
        </w:tc>
        <w:tc>
          <w:tcPr>
            <w:tcW w:w="2737"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本期转销存货跌价准备的原因</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rPr>
          <w:gridAfter w:val="1"/>
          <w:wAfter w:w="705" w:type="dxa"/>
        </w:trPr>
        <w:tc>
          <w:tcPr>
            <w:tcW w:w="1410"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原材料</w:t>
            </w:r>
          </w:p>
        </w:tc>
        <w:tc>
          <w:tcPr>
            <w:tcW w:w="2196"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原材料的可变现净值低于原材料成本</w:t>
            </w:r>
          </w:p>
        </w:tc>
        <w:tc>
          <w:tcPr>
            <w:tcW w:w="2523"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本期无转回</w:t>
            </w:r>
          </w:p>
        </w:tc>
        <w:tc>
          <w:tcPr>
            <w:tcW w:w="2737"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本期生产完成并销售</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rPr>
          <w:gridAfter w:val="1"/>
          <w:wAfter w:w="705" w:type="dxa"/>
        </w:trPr>
        <w:tc>
          <w:tcPr>
            <w:tcW w:w="1410"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库存商品</w:t>
            </w:r>
          </w:p>
        </w:tc>
        <w:tc>
          <w:tcPr>
            <w:tcW w:w="2196"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库存商品的可变现净值低于库存商品成本</w:t>
            </w:r>
          </w:p>
        </w:tc>
        <w:tc>
          <w:tcPr>
            <w:tcW w:w="2523"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本期无转回</w:t>
            </w:r>
          </w:p>
        </w:tc>
        <w:tc>
          <w:tcPr>
            <w:tcW w:w="2737"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本期已销售</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rPr>
          <w:gridAfter w:val="1"/>
          <w:wAfter w:w="705" w:type="dxa"/>
        </w:trPr>
        <w:tc>
          <w:tcPr>
            <w:tcW w:w="1410"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自制半成品</w:t>
            </w:r>
          </w:p>
        </w:tc>
        <w:tc>
          <w:tcPr>
            <w:tcW w:w="2196" w:type="dxa"/>
            <w:gridSpan w:val="2"/>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自制半成品的可变现净值低于自制半成品成本</w:t>
            </w:r>
          </w:p>
        </w:tc>
        <w:tc>
          <w:tcPr>
            <w:tcW w:w="2523"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本期无转回</w:t>
            </w:r>
          </w:p>
        </w:tc>
        <w:tc>
          <w:tcPr>
            <w:tcW w:w="2737" w:type="dxa"/>
            <w:gridSpan w:val="3"/>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sz w:val="18"/>
                <w:szCs w:val="24"/>
                <w:lang w:val="zh-CN"/>
              </w:rPr>
            </w:pPr>
            <w:r>
              <w:rPr>
                <w:rFonts w:hint="eastAsia" w:ascii="宋体"/>
                <w:sz w:val="18"/>
                <w:szCs w:val="24"/>
                <w:lang w:val="zh-CN"/>
              </w:rPr>
              <w:t>本期生产完成并销售</w:t>
            </w:r>
          </w:p>
        </w:tc>
      </w:tr>
    </w:tbl>
    <w:p>
      <w:pPr>
        <w:autoSpaceDE w:val="0"/>
        <w:autoSpaceDN w:val="0"/>
        <w:adjustRightInd w:val="0"/>
        <w:spacing w:before="0" w:beforeLines="0" w:after="0" w:afterLines="0"/>
        <w:jc w:val="left"/>
        <w:rPr>
          <w:rFonts w:hint="eastAsia" w:ascii="宋体"/>
          <w:sz w:val="18"/>
          <w:szCs w:val="24"/>
          <w:lang w:val="zh-CN"/>
        </w:rPr>
      </w:pP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）存货期末余额含有借款费用资本化金额的说明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）合同履约成本本期摊销金额的说明</w:t>
      </w:r>
    </w:p>
    <w:p>
      <w:pPr>
        <w:pStyle w:val="7"/>
        <w:spacing w:beforeLines="0" w:afterLines="0"/>
        <w:outlineLvl w:val="2"/>
        <w:rPr>
          <w:rFonts w:hint="default"/>
          <w:sz w:val="21"/>
          <w:szCs w:val="24"/>
        </w:rPr>
      </w:pPr>
      <w:r>
        <w:rPr>
          <w:rFonts w:hint="default"/>
          <w:sz w:val="21"/>
          <w:szCs w:val="24"/>
        </w:rPr>
        <w:t>10</w:t>
      </w:r>
      <w:r>
        <w:rPr>
          <w:rFonts w:hint="eastAsia"/>
          <w:sz w:val="21"/>
          <w:szCs w:val="24"/>
        </w:rPr>
        <w:t>、合同资产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2"/>
        <w:gridCol w:w="1196"/>
        <w:gridCol w:w="1329"/>
        <w:gridCol w:w="1195"/>
        <w:gridCol w:w="1196"/>
        <w:gridCol w:w="1196"/>
        <w:gridCol w:w="1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720"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71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合同资产的账面价值在本期内发生的重大变动金额和原因：</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5"/>
        <w:gridCol w:w="2419"/>
        <w:gridCol w:w="4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41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变动金额</w:t>
            </w:r>
          </w:p>
        </w:tc>
        <w:tc>
          <w:tcPr>
            <w:tcW w:w="4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变动原因</w:t>
            </w:r>
          </w:p>
        </w:tc>
      </w:tr>
    </w:tbl>
    <w:p>
      <w:pPr>
        <w:spacing w:beforeLines="0" w:afterLines="0"/>
        <w:jc w:val="left"/>
        <w:rPr>
          <w:rFonts w:hint="default"/>
          <w:sz w:val="18"/>
          <w:szCs w:val="24"/>
        </w:rPr>
      </w:pPr>
      <w:r>
        <w:rPr>
          <w:rFonts w:hint="eastAsia"/>
          <w:sz w:val="18"/>
          <w:szCs w:val="24"/>
        </w:rPr>
        <w:t>如是按照预期信用损失一般模型计提合同资产坏账准备，请参照其他应收款的披露方式披露坏账准备的相关信息：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本期合同资产计提减值准备情况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本期计提</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本期转回</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本期转销</w:t>
            </w:r>
            <w:r>
              <w:rPr>
                <w:rFonts w:hint="default"/>
                <w:sz w:val="18"/>
                <w:szCs w:val="24"/>
              </w:rPr>
              <w:t>/</w:t>
            </w:r>
            <w:r>
              <w:rPr>
                <w:rFonts w:hint="eastAsia"/>
                <w:sz w:val="18"/>
                <w:szCs w:val="24"/>
              </w:rPr>
              <w:t>核销</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11</w:t>
      </w:r>
      <w:r>
        <w:rPr>
          <w:rFonts w:hint="eastAsia"/>
          <w:sz w:val="21"/>
          <w:szCs w:val="24"/>
        </w:rPr>
        <w:t>、持有待售资产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7"/>
        <w:gridCol w:w="1367"/>
        <w:gridCol w:w="1367"/>
        <w:gridCol w:w="1367"/>
        <w:gridCol w:w="1367"/>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公允价值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预计处置费用</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预计处置时间</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12</w:t>
      </w:r>
      <w:r>
        <w:rPr>
          <w:rFonts w:hint="eastAsia"/>
          <w:sz w:val="21"/>
          <w:szCs w:val="24"/>
        </w:rPr>
        <w:t>、一年内到期的非流动资产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重要的债权投资</w:t>
      </w:r>
      <w:r>
        <w:rPr>
          <w:rFonts w:hint="default"/>
          <w:sz w:val="18"/>
          <w:szCs w:val="24"/>
        </w:rPr>
        <w:t>/</w:t>
      </w:r>
      <w:r>
        <w:rPr>
          <w:rFonts w:hint="eastAsia"/>
          <w:sz w:val="18"/>
          <w:szCs w:val="24"/>
        </w:rPr>
        <w:t>其他债权投资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13</w:t>
      </w:r>
      <w:r>
        <w:rPr>
          <w:rFonts w:hint="eastAsia"/>
          <w:sz w:val="21"/>
          <w:szCs w:val="24"/>
        </w:rPr>
        <w:t>、其他流动资产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待抵扣增值税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1,108,201.67</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1,703,452.30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待摊的财产保险费</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136,501.88</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37,289.31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已赎回未到账的银行理财产品</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27,220,011.38</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大额定期存单</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60,066,366.64</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30,036,600.00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88,531,081.57</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31,777,341.61</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14</w:t>
      </w:r>
      <w:r>
        <w:rPr>
          <w:rFonts w:hint="eastAsia"/>
          <w:sz w:val="21"/>
          <w:szCs w:val="24"/>
        </w:rPr>
        <w:t>、债权投资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重要的债权投资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r>
    </w:tbl>
    <w:p>
      <w:pPr>
        <w:spacing w:beforeLines="0" w:afterLines="0"/>
        <w:jc w:val="left"/>
        <w:rPr>
          <w:rFonts w:hint="default"/>
          <w:sz w:val="18"/>
          <w:szCs w:val="24"/>
        </w:rPr>
      </w:pPr>
      <w:r>
        <w:rPr>
          <w:rFonts w:hint="eastAsia"/>
          <w:sz w:val="18"/>
          <w:szCs w:val="24"/>
        </w:rPr>
        <w:t>减值准备计提情况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15</w:t>
      </w:r>
      <w:r>
        <w:rPr>
          <w:rFonts w:hint="eastAsia"/>
          <w:sz w:val="21"/>
          <w:szCs w:val="24"/>
        </w:rPr>
        <w:t>、其他债权投资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6"/>
        <w:gridCol w:w="1035"/>
        <w:gridCol w:w="1034"/>
        <w:gridCol w:w="1034"/>
        <w:gridCol w:w="1034"/>
        <w:gridCol w:w="1034"/>
        <w:gridCol w:w="1034"/>
        <w:gridCol w:w="1034"/>
        <w:gridCol w:w="10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应计利息</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本期公允价值变动</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累计公允价值变动</w:t>
            </w:r>
          </w:p>
        </w:tc>
        <w:tc>
          <w:tcPr>
            <w:tcW w:w="103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累计在其他综合收益中确认的损失准备</w:t>
            </w:r>
          </w:p>
        </w:tc>
        <w:tc>
          <w:tcPr>
            <w:tcW w:w="10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备注</w:t>
            </w:r>
          </w:p>
        </w:tc>
      </w:tr>
    </w:tbl>
    <w:p>
      <w:pPr>
        <w:spacing w:beforeLines="0" w:afterLines="0"/>
        <w:jc w:val="left"/>
        <w:rPr>
          <w:rFonts w:hint="default"/>
          <w:sz w:val="18"/>
          <w:szCs w:val="24"/>
        </w:rPr>
      </w:pPr>
      <w:r>
        <w:rPr>
          <w:rFonts w:hint="eastAsia"/>
          <w:sz w:val="18"/>
          <w:szCs w:val="24"/>
        </w:rPr>
        <w:t>重要的其他债权投资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957"/>
        <w:gridCol w:w="958"/>
        <w:gridCol w:w="956"/>
        <w:gridCol w:w="957"/>
        <w:gridCol w:w="956"/>
        <w:gridCol w:w="957"/>
        <w:gridCol w:w="956"/>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其他债权项目</w:t>
            </w:r>
          </w:p>
        </w:tc>
        <w:tc>
          <w:tcPr>
            <w:tcW w:w="38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票面利率</w:t>
            </w:r>
          </w:p>
        </w:tc>
        <w:tc>
          <w:tcPr>
            <w:tcW w:w="95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实际利率</w:t>
            </w:r>
          </w:p>
        </w:tc>
        <w:tc>
          <w:tcPr>
            <w:tcW w:w="9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r>
    </w:tbl>
    <w:p>
      <w:pPr>
        <w:spacing w:beforeLines="0" w:afterLines="0"/>
        <w:jc w:val="left"/>
        <w:rPr>
          <w:rFonts w:hint="default"/>
          <w:sz w:val="18"/>
          <w:szCs w:val="24"/>
        </w:rPr>
      </w:pPr>
      <w:r>
        <w:rPr>
          <w:rFonts w:hint="eastAsia"/>
          <w:sz w:val="18"/>
          <w:szCs w:val="24"/>
        </w:rPr>
        <w:t>减值准备计提情况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16</w:t>
      </w:r>
      <w:r>
        <w:rPr>
          <w:rFonts w:hint="eastAsia"/>
          <w:sz w:val="21"/>
          <w:szCs w:val="24"/>
        </w:rPr>
        <w:t>、长期应收款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3"/>
        <w:gridCol w:w="1167"/>
        <w:gridCol w:w="1167"/>
        <w:gridCol w:w="1167"/>
        <w:gridCol w:w="1167"/>
        <w:gridCol w:w="1168"/>
        <w:gridCol w:w="1165"/>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0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5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500"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1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折现率区间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40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1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1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1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16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bl>
    <w:p>
      <w:pPr>
        <w:spacing w:beforeLines="0" w:afterLines="0"/>
        <w:jc w:val="left"/>
        <w:rPr>
          <w:rFonts w:hint="default"/>
          <w:sz w:val="18"/>
          <w:szCs w:val="24"/>
        </w:rPr>
      </w:pPr>
      <w:r>
        <w:rPr>
          <w:rFonts w:hint="eastAsia"/>
          <w:sz w:val="18"/>
          <w:szCs w:val="24"/>
        </w:rPr>
        <w:t>坏账准备减值情况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）因金融资产转移而终止确认的长期应收款</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）转移长期应收款且继续涉入形成的资产、负债金额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17</w:t>
      </w:r>
      <w:r>
        <w:rPr>
          <w:rFonts w:hint="eastAsia"/>
          <w:sz w:val="21"/>
          <w:szCs w:val="24"/>
        </w:rPr>
        <w:t>、长期股权投资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797"/>
        <w:gridCol w:w="797"/>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被投资单位</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6383"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本期增减变动</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追加投资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减少投资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权益法下确认的投资损益</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其他综合收益调整</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其他权益变动</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宣告发放现金股利或利润</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计提减值准备</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一、合营企业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二、联营企业</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18</w:t>
      </w:r>
      <w:r>
        <w:rPr>
          <w:rFonts w:hint="eastAsia"/>
          <w:sz w:val="21"/>
          <w:szCs w:val="24"/>
        </w:rPr>
        <w:t>、其他权益工具投资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分项披露本期非交易性权益工具投资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确认的股利收入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累计利得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累计损失</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其他综合收益转入留存收益的金额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指定为以公允价值计量且其变动计入其他综合收益的原因</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其他综合收益转入留存收益的原因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19</w:t>
      </w:r>
      <w:r>
        <w:rPr>
          <w:rFonts w:hint="eastAsia"/>
          <w:sz w:val="21"/>
          <w:szCs w:val="24"/>
        </w:rPr>
        <w:t>、其他非流动金融资产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20</w:t>
      </w:r>
      <w:r>
        <w:rPr>
          <w:rFonts w:hint="eastAsia"/>
          <w:sz w:val="21"/>
          <w:szCs w:val="24"/>
        </w:rPr>
        <w:t>、投资性房地产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）采用成本计量模式的投资性房地产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房屋、建筑物</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土地使用权</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在建工程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一、账面原值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14,040,700.92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2,253,604.32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16,294,305.24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206,323.40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）外购</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）存货</w:t>
            </w:r>
            <w:r>
              <w:rPr>
                <w:rFonts w:hint="default"/>
                <w:sz w:val="18"/>
                <w:szCs w:val="24"/>
              </w:rPr>
              <w:t>\</w:t>
            </w:r>
            <w:r>
              <w:rPr>
                <w:rFonts w:hint="eastAsia"/>
                <w:sz w:val="18"/>
                <w:szCs w:val="24"/>
              </w:rPr>
              <w:t>固定资产</w:t>
            </w:r>
            <w:r>
              <w:rPr>
                <w:rFonts w:hint="default"/>
                <w:sz w:val="18"/>
                <w:szCs w:val="24"/>
              </w:rPr>
              <w:t>\</w:t>
            </w:r>
            <w:r>
              <w:rPr>
                <w:rFonts w:hint="eastAsia"/>
                <w:sz w:val="18"/>
                <w:szCs w:val="24"/>
              </w:rPr>
              <w:t>在建工程转入</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761,240.83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761,240.83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13,485,783.49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2,253,604.32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15,739,387.81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二、累计折旧和累计摊销</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9,188,854.51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817,958.30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10,006,812.81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755,209.48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46,093.68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801,303.16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）计提或摊销</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576,053.74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46,093.68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622,147.42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647,389.94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647,389.94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9,296,674.05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864,051.98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10,160,726.03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三、减值准备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）其他转出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4,189,109.44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1,389,552.34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5,578,661.78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4,851,846.41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1,435,646.02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6,287,492.43</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）采用公允价值计量模式的投资性房地产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）未办妥产权证书的投资性房地产情况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未办妥产权证书原因</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（4）报告期投资性房地产未发生减值情况，故未计提减值准备。</w:t>
      </w:r>
    </w:p>
    <w:p>
      <w:pPr>
        <w:pStyle w:val="7"/>
        <w:spacing w:beforeLines="0" w:afterLines="0"/>
        <w:outlineLvl w:val="2"/>
        <w:rPr>
          <w:rFonts w:hint="default"/>
          <w:sz w:val="21"/>
          <w:szCs w:val="24"/>
        </w:rPr>
      </w:pPr>
      <w:r>
        <w:rPr>
          <w:rFonts w:hint="default"/>
          <w:sz w:val="21"/>
          <w:szCs w:val="24"/>
        </w:rPr>
        <w:t>21</w:t>
      </w:r>
      <w:r>
        <w:rPr>
          <w:rFonts w:hint="eastAsia"/>
          <w:sz w:val="21"/>
          <w:szCs w:val="24"/>
        </w:rPr>
        <w:t>、固定资产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固定资产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250,212,871.99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245,669,062.62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250,212,871.99</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245,669,062.62</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）固定资产情况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房屋及建筑物</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机器设备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运输工具</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电子设备及其他</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152,228,548.52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183,394,331.46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6,231,465.12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8,967,959.50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350,822,304.60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8,933,785.06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15,126,705.04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114,295.40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3,509,048.84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27,683,834.34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）购置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491,150.44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44,159.29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361,178.58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896,488.31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）在建工程转入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8,172,544.23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14,635,554.60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70,136.11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3,147,870.26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26,026,105.20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w:t>
            </w:r>
            <w:r>
              <w:rPr>
                <w:rFonts w:hint="default"/>
                <w:sz w:val="18"/>
                <w:szCs w:val="24"/>
              </w:rPr>
              <w:t>4</w:t>
            </w:r>
            <w:r>
              <w:rPr>
                <w:rFonts w:hint="eastAsia"/>
                <w:sz w:val="18"/>
                <w:szCs w:val="24"/>
              </w:rPr>
              <w:t>）投资性房地产转入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761,240.83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761,240.83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356,323.40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4,546,533.68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552,508.80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858,845.58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6,314,211.46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4,546,533.68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552,508.80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858,845.58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6,107,888.06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w:t>
            </w:r>
            <w:r>
              <w:rPr>
                <w:rFonts w:hint="default"/>
                <w:sz w:val="18"/>
                <w:szCs w:val="24"/>
              </w:rPr>
              <w:t>2</w:t>
            </w:r>
            <w:r>
              <w:rPr>
                <w:rFonts w:hint="eastAsia"/>
                <w:sz w:val="18"/>
                <w:szCs w:val="24"/>
              </w:rPr>
              <w:t>）转入投资性房地产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206,323.40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206,323.40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160,806,010.18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193,974,502.82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5,793,251.72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11,618,162.76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372,191,927.48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二、累计折旧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46,208,277.49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47,815,639.31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4,439,488.39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6,689,836.79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105,153,241.98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8,054,971.76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13,047,330.41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520,675.70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853,543.16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22,476,521.03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7,407,581.82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13,047,330.41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520,675.70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853,543.16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21,829,131.09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w:t>
            </w:r>
            <w:r>
              <w:rPr>
                <w:rFonts w:hint="default"/>
                <w:sz w:val="18"/>
                <w:szCs w:val="24"/>
              </w:rPr>
              <w:t>2</w:t>
            </w:r>
            <w:r>
              <w:rPr>
                <w:rFonts w:hint="eastAsia"/>
                <w:sz w:val="18"/>
                <w:szCs w:val="24"/>
              </w:rPr>
              <w:t>）投资性房地产转入</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647,389.94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647,389.94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263,363.19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4,136,739.46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435,973.54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814,631.33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5,650,707.52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84,207.45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4,136,739.46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435,973.54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814,631.33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5,471,551.78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w:t>
            </w:r>
            <w:r>
              <w:rPr>
                <w:rFonts w:hint="default"/>
                <w:sz w:val="18"/>
                <w:szCs w:val="24"/>
              </w:rPr>
              <w:t>2</w:t>
            </w:r>
            <w:r>
              <w:rPr>
                <w:rFonts w:hint="eastAsia"/>
                <w:sz w:val="18"/>
                <w:szCs w:val="24"/>
              </w:rPr>
              <w:t>）转入投资性房地产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179,155.74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179,155.74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53,999,886.06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56,726,230.26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4,524,190.55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6,728,748.62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121,979,055.49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）处置或报废</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106,806,124.12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137,248,272.56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1,269,061.17</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4,889,414.14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250,212,871.99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106,020,271.03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135,578,692.15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1,791,976.73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2,278,122.71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245,669,062.62</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）暂时闲置的固定资产情况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累计折旧</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备注</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）通过经营租赁租出的固定资产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期末账面价值</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）未办妥产权证书的固定资产情况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未办妥产权证书的原因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莱州伟隆新厂</w:t>
            </w:r>
            <w:r>
              <w:rPr>
                <w:rFonts w:hint="default"/>
                <w:sz w:val="18"/>
                <w:szCs w:val="24"/>
              </w:rPr>
              <w:t>3#</w:t>
            </w:r>
            <w:r>
              <w:rPr>
                <w:rFonts w:hint="eastAsia"/>
                <w:sz w:val="18"/>
                <w:szCs w:val="24"/>
              </w:rPr>
              <w:t>车间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3,068,807.34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正在办理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莱州伟隆新厂</w:t>
            </w:r>
            <w:r>
              <w:rPr>
                <w:rFonts w:hint="default"/>
                <w:sz w:val="18"/>
                <w:szCs w:val="24"/>
              </w:rPr>
              <w:t>4#</w:t>
            </w:r>
            <w:r>
              <w:rPr>
                <w:rFonts w:hint="eastAsia"/>
                <w:sz w:val="18"/>
                <w:szCs w:val="24"/>
              </w:rPr>
              <w:t>车间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4,843,508.98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正在办理</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③截至2021年12月31日，公司的房屋建筑物无设定抵押情况。</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④报告期公司固定资产未发生减值情况,故未计提减值准备。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⑤2021年度在建工程转入增加固定资产原值为26,026,105.20元。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⑥报告期公司无暂时闲置的固定资产情况。</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⑦报告期公司无通过融资租赁租入的固定资产情况。</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）固定资产清理</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3191"/>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22</w:t>
      </w:r>
      <w:r>
        <w:rPr>
          <w:rFonts w:hint="eastAsia"/>
          <w:sz w:val="21"/>
          <w:szCs w:val="24"/>
        </w:rPr>
        <w:t>、在建工程</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在建工程</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4,649,676.26</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12,829,256.89</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）在建工程情况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待安装设备</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3,567,107.44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3,567,107.44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12,144,870.04</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12,144,870.04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厂房及零星工程等</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1,082,568.82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1,082,568.82</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684,386.85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684,386.85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4,649,676.26</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12,829,256.89</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）重要在建工程项目本期变动情况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2"/>
        <w:gridCol w:w="736"/>
        <w:gridCol w:w="736"/>
        <w:gridCol w:w="736"/>
        <w:gridCol w:w="736"/>
        <w:gridCol w:w="736"/>
        <w:gridCol w:w="736"/>
        <w:gridCol w:w="736"/>
        <w:gridCol w:w="736"/>
        <w:gridCol w:w="736"/>
        <w:gridCol w:w="736"/>
        <w:gridCol w:w="73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项目名称</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预算数</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本期转入固定资产金额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本期其他减少金额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工程累计投入占预算比例</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工程进度</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利息资本化累计金额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其中：本期利息资本化金额</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本期利息资本化率</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资金来源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待安装设备</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12,144,870.04</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9,375,760.42</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17,853,560.97</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99,962.05</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3,567,107.44</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厂房及零星工程等</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684,386.85</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9,603,736.89</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8,172,544.23</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1,033,010.69</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1,082,568.82</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12,829,256.89</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18,979,497.31</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26,026,105.20</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1,132,972.74</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4,649,676.26</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）本期计提在建工程减值准备情况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3191"/>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本期计提金额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）工程物资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2"/>
        <w:gridCol w:w="1329"/>
        <w:gridCol w:w="1328"/>
        <w:gridCol w:w="1196"/>
        <w:gridCol w:w="1196"/>
        <w:gridCol w:w="1196"/>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85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58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2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2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③报告期公司无借款费用资本化的情况。</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④报告期在建工程未发生减值情况，故未计提减值准备。</w:t>
      </w:r>
    </w:p>
    <w:p>
      <w:pPr>
        <w:autoSpaceDE w:val="0"/>
        <w:autoSpaceDN w:val="0"/>
        <w:adjustRightInd w:val="0"/>
        <w:spacing w:before="0" w:beforeLines="0" w:after="0" w:afterLines="0"/>
        <w:jc w:val="left"/>
        <w:rPr>
          <w:rFonts w:hint="eastAsia" w:ascii="宋体"/>
          <w:sz w:val="18"/>
          <w:szCs w:val="24"/>
          <w:lang w:val="zh-CN"/>
        </w:rPr>
      </w:pPr>
    </w:p>
    <w:p>
      <w:pPr>
        <w:pStyle w:val="7"/>
        <w:spacing w:beforeLines="0" w:afterLines="0"/>
        <w:outlineLvl w:val="2"/>
        <w:rPr>
          <w:rFonts w:hint="default"/>
          <w:sz w:val="21"/>
          <w:szCs w:val="24"/>
        </w:rPr>
      </w:pPr>
      <w:r>
        <w:rPr>
          <w:rFonts w:hint="default"/>
          <w:sz w:val="21"/>
          <w:szCs w:val="24"/>
        </w:rPr>
        <w:t>23</w:t>
      </w:r>
      <w:r>
        <w:rPr>
          <w:rFonts w:hint="eastAsia"/>
          <w:sz w:val="21"/>
          <w:szCs w:val="24"/>
        </w:rPr>
        <w:t>、生产性生物资产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）采用成本计量模式的生产性生物资产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）采用公允价值计量模式的生产性生物资产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24</w:t>
      </w:r>
      <w:r>
        <w:rPr>
          <w:rFonts w:hint="eastAsia"/>
          <w:sz w:val="21"/>
          <w:szCs w:val="24"/>
        </w:rPr>
        <w:t>、油气资产</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25</w:t>
      </w:r>
      <w:r>
        <w:rPr>
          <w:rFonts w:hint="eastAsia"/>
          <w:sz w:val="21"/>
          <w:szCs w:val="24"/>
        </w:rPr>
        <w:t>、使用权资产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一、账面原值：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二、累计折旧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三、减值准备</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26</w:t>
      </w:r>
      <w:r>
        <w:rPr>
          <w:rFonts w:hint="eastAsia"/>
          <w:sz w:val="21"/>
          <w:szCs w:val="24"/>
        </w:rPr>
        <w:t>、无形资产</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）无形资产情况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4"/>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土地使用权</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专利权</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非专利技术</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计算机软件</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一、账面原值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41,527,794.83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1,247,759.98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42,775,554.81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135,030.23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）购置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135,030.23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135,030.23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）内部研发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）企业合并增加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41,527,794.83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1,382,790.21</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42,910,585.04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二、累计摊销</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6,742,814.98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600,830.10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7,343,645.08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892,718.16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158,574.03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1,051,292.19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892,718.16</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158,574.03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1,051,292.19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7,635,533.14</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759,404.13</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8,394,937.27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三、减值准备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）计提</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本期减少金额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）处置</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四、账面价值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1.</w:t>
            </w:r>
            <w:r>
              <w:rPr>
                <w:rFonts w:hint="eastAsia"/>
                <w:sz w:val="18"/>
                <w:szCs w:val="24"/>
              </w:rPr>
              <w:t>期末账面价值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33,892,261.69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623,386.08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34,515,647.77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2.</w:t>
            </w:r>
            <w:r>
              <w:rPr>
                <w:rFonts w:hint="eastAsia"/>
                <w:sz w:val="18"/>
                <w:szCs w:val="24"/>
              </w:rPr>
              <w:t>期初账面价值</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34,784,979.85</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646,929.88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35,431,909.73</w:t>
            </w:r>
          </w:p>
        </w:tc>
      </w:tr>
    </w:tbl>
    <w:p>
      <w:pPr>
        <w:spacing w:beforeLines="0" w:afterLines="0"/>
        <w:jc w:val="left"/>
        <w:rPr>
          <w:rFonts w:hint="default"/>
          <w:sz w:val="18"/>
          <w:szCs w:val="24"/>
        </w:rPr>
      </w:pPr>
      <w:r>
        <w:rPr>
          <w:rFonts w:hint="eastAsia"/>
          <w:sz w:val="18"/>
          <w:szCs w:val="24"/>
        </w:rPr>
        <w:t>本期末通过公司内部研发形成的无形资产占无形资产余额的比例。</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）未办妥产权证书的土地使用权情况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未办妥产权证书的原因</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0" w:afterLines="0"/>
        <w:ind w:firstLine="436"/>
        <w:jc w:val="left"/>
        <w:rPr>
          <w:rFonts w:hint="eastAsia" w:ascii="宋体"/>
          <w:sz w:val="21"/>
          <w:szCs w:val="24"/>
          <w:lang w:val="zh-CN"/>
        </w:rPr>
      </w:pPr>
      <w:r>
        <w:rPr>
          <w:rFonts w:hint="eastAsia" w:ascii="宋体"/>
          <w:sz w:val="21"/>
          <w:szCs w:val="24"/>
          <w:lang w:val="zh-CN"/>
        </w:rPr>
        <w:t>（3）报告期无形资产未发生减值情况，故未计提减值准备。</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 xml:space="preserve">（4）截至2021年12月31日，公司的土地使用权无设定抵押的情况。 </w:t>
      </w:r>
    </w:p>
    <w:p>
      <w:pPr>
        <w:autoSpaceDE w:val="0"/>
        <w:autoSpaceDN w:val="0"/>
        <w:adjustRightInd w:val="0"/>
        <w:spacing w:before="0" w:beforeLines="0" w:after="150" w:afterLines="0"/>
        <w:ind w:firstLine="436"/>
        <w:rPr>
          <w:rFonts w:hint="eastAsia" w:ascii="宋体"/>
          <w:sz w:val="21"/>
          <w:szCs w:val="24"/>
          <w:lang w:val="zh-CN"/>
        </w:rPr>
      </w:pPr>
      <w:r>
        <w:rPr>
          <w:rFonts w:hint="eastAsia" w:ascii="宋体"/>
          <w:sz w:val="21"/>
          <w:szCs w:val="24"/>
          <w:lang w:val="zh-CN"/>
        </w:rPr>
        <w:t>（5）截至2021年12月31日，公司无未办妥产权证书的土地使用权情况。</w:t>
      </w:r>
    </w:p>
    <w:p>
      <w:pPr>
        <w:pStyle w:val="7"/>
        <w:spacing w:beforeLines="0" w:afterLines="0"/>
        <w:outlineLvl w:val="2"/>
        <w:rPr>
          <w:rFonts w:hint="default"/>
          <w:sz w:val="21"/>
          <w:szCs w:val="24"/>
        </w:rPr>
      </w:pPr>
      <w:r>
        <w:rPr>
          <w:rFonts w:hint="default"/>
          <w:sz w:val="21"/>
          <w:szCs w:val="24"/>
        </w:rPr>
        <w:t>27</w:t>
      </w:r>
      <w:r>
        <w:rPr>
          <w:rFonts w:hint="eastAsia"/>
          <w:sz w:val="21"/>
          <w:szCs w:val="24"/>
        </w:rPr>
        <w:t>、开发支出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063"/>
        <w:gridCol w:w="1063"/>
        <w:gridCol w:w="1063"/>
        <w:gridCol w:w="1063"/>
        <w:gridCol w:w="1063"/>
        <w:gridCol w:w="1063"/>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31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本期增加金额</w:t>
            </w:r>
          </w:p>
        </w:tc>
        <w:tc>
          <w:tcPr>
            <w:tcW w:w="3189"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本期减少金额</w:t>
            </w:r>
          </w:p>
        </w:tc>
        <w:tc>
          <w:tcPr>
            <w:tcW w:w="1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内部开发支出</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确认为无形资产</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转入当期损益</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0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28</w:t>
      </w:r>
      <w:r>
        <w:rPr>
          <w:rFonts w:hint="eastAsia"/>
          <w:sz w:val="21"/>
          <w:szCs w:val="24"/>
        </w:rPr>
        <w:t>、商誉</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）商誉账面原值</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被投资单位名称或形成商誉的事项</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企业合并形成的</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）商誉减值准备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7"/>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被投资单位名称或形成商誉的事项</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273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商誉所在资产组或资产组组合的相关信息</w:t>
      </w:r>
    </w:p>
    <w:p>
      <w:pPr>
        <w:spacing w:beforeLines="0" w:afterLines="0"/>
        <w:jc w:val="left"/>
        <w:rPr>
          <w:rFonts w:hint="default"/>
          <w:sz w:val="18"/>
          <w:szCs w:val="24"/>
        </w:rPr>
      </w:pPr>
      <w:r>
        <w:rPr>
          <w:rFonts w:hint="eastAsia"/>
          <w:sz w:val="18"/>
          <w:szCs w:val="24"/>
        </w:rPr>
        <w:t>说明商誉减值测试过程、关键参数（如预计未来现金流量现值时的预测期增长率、稳定期增长率、利润率、折现率、预测期等）及商誉减值损失的确认方法：</w:t>
      </w:r>
    </w:p>
    <w:p>
      <w:pPr>
        <w:spacing w:beforeLines="0" w:afterLines="0"/>
        <w:jc w:val="left"/>
        <w:rPr>
          <w:rFonts w:hint="default"/>
          <w:sz w:val="18"/>
          <w:szCs w:val="24"/>
        </w:rPr>
      </w:pPr>
      <w:r>
        <w:rPr>
          <w:rFonts w:hint="eastAsia"/>
          <w:sz w:val="18"/>
          <w:szCs w:val="24"/>
        </w:rPr>
        <w:t>商誉减值测试的影响</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29</w:t>
      </w:r>
      <w:r>
        <w:rPr>
          <w:rFonts w:hint="eastAsia"/>
          <w:sz w:val="21"/>
          <w:szCs w:val="24"/>
        </w:rPr>
        <w:t>、长期待摊费用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本期摊销金额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其他减少金额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房屋改造费用</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285,962.60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1,033,010.69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106,589.30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1,212,383.99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285,962.60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1,033,010.69</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106,589.30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1,212,383.99</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30</w:t>
      </w:r>
      <w:r>
        <w:rPr>
          <w:rFonts w:hint="eastAsia"/>
          <w:sz w:val="21"/>
          <w:szCs w:val="24"/>
        </w:rPr>
        <w:t>、递延所得税资产</w:t>
      </w:r>
      <w:r>
        <w:rPr>
          <w:rFonts w:hint="default"/>
          <w:sz w:val="21"/>
          <w:szCs w:val="24"/>
        </w:rPr>
        <w:t>/</w:t>
      </w:r>
      <w:r>
        <w:rPr>
          <w:rFonts w:hint="eastAsia"/>
          <w:sz w:val="21"/>
          <w:szCs w:val="24"/>
        </w:rPr>
        <w:t>递延所得税负债</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）未经抵销的递延所得税资产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可抵扣暂时性差异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递延所得税资产</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可抵扣暂时性差异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内部交易未实现利润</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333,459.03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50,454.83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106,763.00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16,014.45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可抵扣亏损</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59,889,232.49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8,983,541.90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43,666,951.08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6,533,002.42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存货跌价准备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3,082,670.01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462,400.50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1,143,686.14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171,552.92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坏账准备</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7,726,760.77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1,178,106.36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5,308,616.89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808,197.73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递延收益</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11,242,874.68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2,367,685.29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11,203,763.20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2,378,814.52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股权激励</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1,055,133.34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158,270.00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4,166,344.00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624,951.60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交易性金融负债公允价值变动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环保设备抵税额</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6,798,823.27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1,019,823.49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6,227,191.54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934,078.73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90,128,953.59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14,220,282.37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71,854,915.85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11,471,352.37</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）未经抵销的递延所得税负债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应纳税暂时性差异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递延所得税负债</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应纳税暂时性差异</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递延所得税负债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固定资产税前一次性扣除</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19,572,647.07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2,935,897.06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19,418,563.95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2,912,348.61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交易性金融资产公允价值变动</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2,606,030.67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390,904.60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6,004,284.03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893,094.11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22,178,677.74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3,326,801.66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25,422,847.98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3,805,442.72</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）以抵销后净额列示的递延所得税资产或负债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递延所得税资产和负债期末互抵金额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抵销后递延所得税资产或负债期末余额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递延所得税资产和负债期初互抵金额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抵销后递延所得税资产或负债期初余额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递延所得税资产</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14,220,282.37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11,471,352.37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递延所得税负债</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3,326,801.66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3,805,442.72</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）未确认递延所得税资产明细</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可抵扣亏损</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843,983.71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1,323,888.95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843,983.71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1,323,888.95</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）未确认递延所得税资产的可抵扣亏损将于以下年度到期</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年份</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483,669.58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2022</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661,691.64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661,691.64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2023</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170,764.33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170,764.33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2024</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3,910.97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3,910.97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2025</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3,852.43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3,852.43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2026</w:t>
            </w:r>
            <w:r>
              <w:rPr>
                <w:rFonts w:hint="eastAsia"/>
                <w:sz w:val="18"/>
                <w:szCs w:val="24"/>
              </w:rPr>
              <w:t>年</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3,764.34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843,983.71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1,323,888.95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31</w:t>
      </w:r>
      <w:r>
        <w:rPr>
          <w:rFonts w:hint="eastAsia"/>
          <w:sz w:val="21"/>
          <w:szCs w:val="24"/>
        </w:rPr>
        <w:t>、其他非流动资产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1064"/>
        <w:gridCol w:w="1064"/>
        <w:gridCol w:w="1065"/>
        <w:gridCol w:w="1062"/>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8"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预付设备款</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247,500.00</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247,500.00</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1,663,500.00</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1,663,500.00</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32</w:t>
      </w:r>
      <w:r>
        <w:rPr>
          <w:rFonts w:hint="eastAsia"/>
          <w:sz w:val="21"/>
          <w:szCs w:val="24"/>
        </w:rPr>
        <w:t>、短期借款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）短期借款分类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保证借款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19,574,700.00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信用证融资</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29,796,519.10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未到期应付利息</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214,922.77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31,000,000.00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49,586,141.87</w:t>
            </w:r>
          </w:p>
        </w:tc>
      </w:tr>
    </w:tbl>
    <w:p>
      <w:pPr>
        <w:spacing w:beforeLines="0" w:afterLines="0"/>
        <w:jc w:val="left"/>
        <w:rPr>
          <w:rFonts w:hint="default"/>
          <w:sz w:val="18"/>
          <w:szCs w:val="24"/>
        </w:rPr>
      </w:pPr>
      <w:r>
        <w:rPr>
          <w:rFonts w:hint="eastAsia"/>
          <w:sz w:val="18"/>
          <w:szCs w:val="24"/>
        </w:rPr>
        <w:t>短期借款分类的说明：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）已逾期未偿还的短期借款情况</w:t>
      </w:r>
    </w:p>
    <w:p>
      <w:pPr>
        <w:spacing w:beforeLines="0" w:afterLines="0"/>
        <w:jc w:val="left"/>
        <w:rPr>
          <w:rFonts w:hint="default"/>
          <w:sz w:val="18"/>
          <w:szCs w:val="24"/>
        </w:rPr>
      </w:pPr>
      <w:r>
        <w:rPr>
          <w:rFonts w:hint="eastAsia"/>
          <w:sz w:val="18"/>
          <w:szCs w:val="24"/>
        </w:rPr>
        <w:t>本期末已逾期未偿还的短期借款总额为元，其中重要的已逾期未偿还的短期借款情况如下：</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借款单位</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借款利率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逾期利率</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33</w:t>
      </w:r>
      <w:r>
        <w:rPr>
          <w:rFonts w:hint="eastAsia"/>
          <w:sz w:val="21"/>
          <w:szCs w:val="24"/>
        </w:rPr>
        <w:t>、交易性金融负债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指定为以公允价值计量且其变动计入当期损益的金融负债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远期结售汇业务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31,600.00</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34</w:t>
      </w:r>
      <w:r>
        <w:rPr>
          <w:rFonts w:hint="eastAsia"/>
          <w:sz w:val="21"/>
          <w:szCs w:val="24"/>
        </w:rPr>
        <w:t>、衍生金融负债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35</w:t>
      </w:r>
      <w:r>
        <w:rPr>
          <w:rFonts w:hint="eastAsia"/>
          <w:sz w:val="21"/>
          <w:szCs w:val="24"/>
        </w:rPr>
        <w:t>、应付票据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种类</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银行承兑汇票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38,786,483.35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34,798,500.08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38,786,483.35</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34,798,500.08</w:t>
            </w:r>
          </w:p>
        </w:tc>
      </w:tr>
    </w:tbl>
    <w:p>
      <w:pPr>
        <w:spacing w:beforeLines="0" w:afterLines="0"/>
        <w:jc w:val="left"/>
        <w:rPr>
          <w:rFonts w:hint="default"/>
          <w:sz w:val="18"/>
          <w:szCs w:val="24"/>
        </w:rPr>
      </w:pPr>
      <w:r>
        <w:rPr>
          <w:rFonts w:hint="eastAsia"/>
          <w:sz w:val="18"/>
          <w:szCs w:val="24"/>
        </w:rPr>
        <w:t>本期末已到期未支付的应付票据总额为元。</w:t>
      </w:r>
    </w:p>
    <w:p>
      <w:pPr>
        <w:pStyle w:val="7"/>
        <w:spacing w:beforeLines="0" w:afterLines="0"/>
        <w:outlineLvl w:val="2"/>
        <w:rPr>
          <w:rFonts w:hint="default"/>
          <w:sz w:val="21"/>
          <w:szCs w:val="24"/>
        </w:rPr>
      </w:pPr>
      <w:r>
        <w:rPr>
          <w:rFonts w:hint="default"/>
          <w:sz w:val="21"/>
          <w:szCs w:val="24"/>
        </w:rPr>
        <w:t>36</w:t>
      </w:r>
      <w:r>
        <w:rPr>
          <w:rFonts w:hint="eastAsia"/>
          <w:sz w:val="21"/>
          <w:szCs w:val="24"/>
        </w:rPr>
        <w:t>、应付账款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）应付账款列示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56,901,566.04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47,689,951.39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年（含</w:t>
            </w:r>
            <w:r>
              <w:rPr>
                <w:rFonts w:hint="default"/>
                <w:sz w:val="18"/>
                <w:szCs w:val="24"/>
              </w:rPr>
              <w:t>2</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179,915.56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1,955,187.46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年（含</w:t>
            </w:r>
            <w:r>
              <w:rPr>
                <w:rFonts w:hint="default"/>
                <w:sz w:val="18"/>
                <w:szCs w:val="24"/>
              </w:rPr>
              <w:t>3</w:t>
            </w:r>
            <w:r>
              <w:rPr>
                <w:rFonts w:hint="eastAsia"/>
                <w:sz w:val="18"/>
                <w:szCs w:val="24"/>
              </w:rPr>
              <w:t>年）</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161,333.56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143,139.37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346,874.08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342,554.08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57,589,689.24</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50,130,832.30</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年的重要应付账款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未偿还或结转的原因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37</w:t>
      </w:r>
      <w:r>
        <w:rPr>
          <w:rFonts w:hint="eastAsia"/>
          <w:sz w:val="21"/>
          <w:szCs w:val="24"/>
        </w:rPr>
        <w:t>、预收款项</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）预收款项列示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预收股权转让款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24,500,000.00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年的重要预收款项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未偿还或结转的原因</w:t>
            </w:r>
          </w:p>
        </w:tc>
      </w:tr>
    </w:tbl>
    <w:p>
      <w:pPr>
        <w:pStyle w:val="7"/>
        <w:spacing w:beforeLines="0" w:afterLines="0"/>
        <w:outlineLvl w:val="2"/>
        <w:rPr>
          <w:rFonts w:hint="default"/>
          <w:sz w:val="21"/>
          <w:szCs w:val="24"/>
        </w:rPr>
      </w:pPr>
      <w:r>
        <w:rPr>
          <w:rFonts w:hint="default"/>
          <w:sz w:val="21"/>
          <w:szCs w:val="24"/>
        </w:rPr>
        <w:t>38</w:t>
      </w:r>
      <w:r>
        <w:rPr>
          <w:rFonts w:hint="eastAsia"/>
          <w:sz w:val="21"/>
          <w:szCs w:val="24"/>
        </w:rPr>
        <w:t>、合同负债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预收货款</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16,522,851.95</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21,659,525.49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16,522,851.95</w:t>
            </w:r>
          </w:p>
        </w:tc>
        <w:tc>
          <w:tcPr>
            <w:tcW w:w="319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21,659,525.49</w:t>
            </w:r>
          </w:p>
        </w:tc>
      </w:tr>
    </w:tbl>
    <w:p>
      <w:pPr>
        <w:spacing w:beforeLines="0" w:afterLines="0"/>
        <w:jc w:val="left"/>
        <w:rPr>
          <w:rFonts w:hint="default"/>
          <w:sz w:val="18"/>
          <w:szCs w:val="24"/>
        </w:rPr>
      </w:pPr>
      <w:r>
        <w:rPr>
          <w:rFonts w:hint="eastAsia"/>
          <w:sz w:val="18"/>
          <w:szCs w:val="24"/>
        </w:rPr>
        <w:t>报告期内账面价值发生重大变动的金额和原因</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05"/>
        <w:gridCol w:w="2419"/>
        <w:gridCol w:w="4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0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41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变动金额</w:t>
            </w:r>
          </w:p>
        </w:tc>
        <w:tc>
          <w:tcPr>
            <w:tcW w:w="4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变动原因</w:t>
            </w:r>
          </w:p>
        </w:tc>
      </w:tr>
    </w:tbl>
    <w:p>
      <w:pPr>
        <w:pStyle w:val="7"/>
        <w:spacing w:beforeLines="0" w:afterLines="0"/>
        <w:outlineLvl w:val="2"/>
        <w:rPr>
          <w:rFonts w:hint="default"/>
          <w:sz w:val="21"/>
          <w:szCs w:val="24"/>
        </w:rPr>
      </w:pPr>
      <w:r>
        <w:rPr>
          <w:rFonts w:hint="default"/>
          <w:sz w:val="21"/>
          <w:szCs w:val="24"/>
        </w:rPr>
        <w:t>39</w:t>
      </w:r>
      <w:r>
        <w:rPr>
          <w:rFonts w:hint="eastAsia"/>
          <w:sz w:val="21"/>
          <w:szCs w:val="24"/>
        </w:rPr>
        <w:t>、应付职工薪酬</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）应付职工薪酬列示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一、短期薪酬</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21,145,013.77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60,250,105.78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59,932,809.49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21,462,310.06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二、离职后福利</w:t>
            </w:r>
            <w:r>
              <w:rPr>
                <w:rFonts w:hint="default"/>
                <w:sz w:val="18"/>
                <w:szCs w:val="24"/>
              </w:rPr>
              <w:t>-</w:t>
            </w:r>
            <w:r>
              <w:rPr>
                <w:rFonts w:hint="eastAsia"/>
                <w:sz w:val="18"/>
                <w:szCs w:val="24"/>
              </w:rPr>
              <w:t>设定提存计划</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4,381,439.06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4,381,439.06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21,145,013.77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64,631,544.84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64,314,248.55</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21,462,310.06</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）短期薪酬列示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、工资、奖金、津贴和补贴</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7,810,724.26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51,055,318.83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50,763,870.61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8,102,172.48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、职工福利费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4,268,932.73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4,268,932.73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、社会保险费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2,443,215.95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2,443,215.95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其中：医疗保险费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2,206,491.65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2,206,491.65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工伤保险费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150,806.45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150,806.45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大额救助和残联基金</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85,917.85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85,917.85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4</w:t>
            </w:r>
            <w:r>
              <w:rPr>
                <w:rFonts w:hint="eastAsia"/>
                <w:sz w:val="18"/>
                <w:szCs w:val="24"/>
              </w:rPr>
              <w:t>、住房公积金</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1,487,756.80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1,487,756.80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5</w:t>
            </w:r>
            <w:r>
              <w:rPr>
                <w:rFonts w:hint="eastAsia"/>
                <w:sz w:val="18"/>
                <w:szCs w:val="24"/>
              </w:rPr>
              <w:t>、工会经费和职工教育经费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13,334,289.51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580,701.47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554,853.40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13,360,137.58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8</w:t>
            </w:r>
            <w:r>
              <w:rPr>
                <w:rFonts w:hint="eastAsia"/>
                <w:sz w:val="18"/>
                <w:szCs w:val="24"/>
              </w:rPr>
              <w:t>、补充医疗保险</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414,180.00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414,180.00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21,145,013.77</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60,250,105.78</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59,932,809.49</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21,462,310.06</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）设定提存计划列示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、基本养老保险</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4,197,801.82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4,197,801.82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、失业保险费</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183,637.24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183,637.24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4,381,439.06</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4,381,439.06</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40</w:t>
      </w:r>
      <w:r>
        <w:rPr>
          <w:rFonts w:hint="eastAsia"/>
          <w:sz w:val="21"/>
          <w:szCs w:val="24"/>
        </w:rPr>
        <w:t>、应交税费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增值税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762,702.05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67,850.27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企业所得税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3,209,214.34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36,384.81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个人所得税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80,982.79</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37,029.78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城市维护建设税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248,547.85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173,307.04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印花税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43,412.00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21,962.90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房产税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321,150.31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317,029.42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城镇土地使用税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117,428.85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116,729.66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106,520.51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74,274.45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71,013.68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49,516.30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地方水利建设基金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12,379.07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1,896.27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5,444.39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4,962,868.65</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911,908.09</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41</w:t>
      </w:r>
      <w:r>
        <w:rPr>
          <w:rFonts w:hint="eastAsia"/>
          <w:sz w:val="21"/>
          <w:szCs w:val="24"/>
        </w:rPr>
        <w:t>、其他应付款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其他应付款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34,116,462.22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12,243,854.80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34,116,462.22</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12,243,854.80</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）应付利息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重要的已逾期未支付的利息情况：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借款单位</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逾期金额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）应付股利</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其他说明，包括重要的超过</w:t>
      </w:r>
      <w:r>
        <w:rPr>
          <w:rFonts w:hint="default"/>
          <w:sz w:val="18"/>
          <w:szCs w:val="24"/>
        </w:rPr>
        <w:t>1</w:t>
      </w:r>
      <w:r>
        <w:rPr>
          <w:rFonts w:hint="eastAsia"/>
          <w:sz w:val="18"/>
          <w:szCs w:val="24"/>
        </w:rPr>
        <w:t>年未支付的应付股利，应披露未支付原因：</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）其他应付款</w:t>
      </w:r>
    </w:p>
    <w:p>
      <w:pPr>
        <w:pStyle w:val="7"/>
        <w:spacing w:beforeLines="0" w:afterLines="0"/>
        <w:outlineLvl w:val="4"/>
        <w:rPr>
          <w:rFonts w:hint="default"/>
          <w:sz w:val="21"/>
          <w:szCs w:val="24"/>
        </w:rPr>
      </w:pPr>
      <w:r>
        <w:rPr>
          <w:rFonts w:hint="default"/>
          <w:sz w:val="21"/>
          <w:szCs w:val="24"/>
        </w:rPr>
        <w:t>1</w:t>
      </w:r>
      <w:r>
        <w:rPr>
          <w:rFonts w:hint="eastAsia"/>
          <w:sz w:val="21"/>
          <w:szCs w:val="24"/>
        </w:rPr>
        <w:t>）按款项性质列示其他应付款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质保金及押金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16,353,836.98</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6,187,363.97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单位间往来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4,104,016.34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752,781.35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个人往来及其他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58,608.90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1,467,765.48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限制性股票回购义务</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34,116,462.22</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12,243,854.80</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）账龄超过</w:t>
      </w:r>
      <w:r>
        <w:rPr>
          <w:rFonts w:hint="default"/>
          <w:sz w:val="21"/>
          <w:szCs w:val="24"/>
        </w:rPr>
        <w:t>1</w:t>
      </w:r>
      <w:r>
        <w:rPr>
          <w:rFonts w:hint="eastAsia"/>
          <w:sz w:val="21"/>
          <w:szCs w:val="24"/>
        </w:rPr>
        <w:t>年的重要其他应付款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未偿还或结转的原因</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jc w:val="left"/>
        <w:rPr>
          <w:rFonts w:hint="eastAsia" w:ascii="宋体"/>
          <w:sz w:val="21"/>
          <w:szCs w:val="24"/>
          <w:lang w:val="zh-CN"/>
        </w:rPr>
      </w:pPr>
      <w:r>
        <w:rPr>
          <w:rFonts w:hint="eastAsia" w:ascii="宋体"/>
          <w:sz w:val="21"/>
          <w:szCs w:val="24"/>
          <w:lang w:val="zh-CN"/>
        </w:rPr>
        <w:t>3）按账龄列示：</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063"/>
        <w:gridCol w:w="2253"/>
        <w:gridCol w:w="1294"/>
        <w:gridCol w:w="2113"/>
        <w:gridCol w:w="1363"/>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账龄</w:t>
            </w:r>
          </w:p>
        </w:tc>
        <w:tc>
          <w:tcPr>
            <w:tcW w:w="3547" w:type="dxa"/>
            <w:gridSpan w:val="2"/>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期末余额</w:t>
            </w:r>
          </w:p>
        </w:tc>
        <w:tc>
          <w:tcPr>
            <w:tcW w:w="3476" w:type="dxa"/>
            <w:gridSpan w:val="2"/>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期初余额</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continue"/>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18"/>
                <w:szCs w:val="24"/>
                <w:lang w:val="zh-CN"/>
              </w:rPr>
            </w:pP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金额</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比例（%）</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金额</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比例（%）</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1年以内（含1年）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29,196,877.47 </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85.58 </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3,172,258.00</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25.91</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1至2年（含2年）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849,664.98 </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2.49 </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2,689,288.15</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21.96</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2至3年（含3年）</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2,281,581.53 </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6.69 </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4,216,278.00</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34.44</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rPr>
          <w:trHeight w:val="312" w:hRule="atLeast"/>
        </w:trPr>
        <w:tc>
          <w:tcPr>
            <w:tcW w:w="20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3年以上</w:t>
            </w:r>
          </w:p>
        </w:tc>
        <w:tc>
          <w:tcPr>
            <w:tcW w:w="225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1,788,338.24 </w:t>
            </w:r>
          </w:p>
        </w:tc>
        <w:tc>
          <w:tcPr>
            <w:tcW w:w="1294"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5.24 </w:t>
            </w:r>
          </w:p>
        </w:tc>
        <w:tc>
          <w:tcPr>
            <w:tcW w:w="211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2,166,030.65</w:t>
            </w:r>
          </w:p>
        </w:tc>
        <w:tc>
          <w:tcPr>
            <w:tcW w:w="1363" w:type="dxa"/>
            <w:vMerge w:val="restart"/>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17.69</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CellMar>
            <w:top w:w="10" w:type="dxa"/>
            <w:left w:w="10" w:type="dxa"/>
            <w:bottom w:w="10" w:type="dxa"/>
            <w:right w:w="10" w:type="dxa"/>
          </w:tblCellMar>
        </w:tblPrEx>
        <w:tc>
          <w:tcPr>
            <w:tcW w:w="206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合计</w:t>
            </w:r>
          </w:p>
        </w:tc>
        <w:tc>
          <w:tcPr>
            <w:tcW w:w="225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34,116,462.22 </w:t>
            </w:r>
          </w:p>
        </w:tc>
        <w:tc>
          <w:tcPr>
            <w:tcW w:w="1294"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 xml:space="preserve">100.00 </w:t>
            </w:r>
          </w:p>
        </w:tc>
        <w:tc>
          <w:tcPr>
            <w:tcW w:w="211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12,243,854.80</w:t>
            </w:r>
          </w:p>
        </w:tc>
        <w:tc>
          <w:tcPr>
            <w:tcW w:w="1363"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r>
              <w:rPr>
                <w:rFonts w:hint="eastAsia" w:ascii="宋体"/>
                <w:b/>
                <w:sz w:val="18"/>
                <w:szCs w:val="24"/>
                <w:lang w:val="zh-CN"/>
              </w:rPr>
              <w:t>100.00</w:t>
            </w:r>
          </w:p>
        </w:tc>
      </w:tr>
    </w:tbl>
    <w:p>
      <w:pPr>
        <w:pStyle w:val="7"/>
        <w:spacing w:beforeLines="0" w:afterLines="0"/>
        <w:outlineLvl w:val="2"/>
        <w:rPr>
          <w:rFonts w:hint="default"/>
          <w:sz w:val="21"/>
          <w:szCs w:val="24"/>
        </w:rPr>
      </w:pPr>
      <w:r>
        <w:rPr>
          <w:rFonts w:hint="default"/>
          <w:sz w:val="21"/>
          <w:szCs w:val="24"/>
        </w:rPr>
        <w:t>42</w:t>
      </w:r>
      <w:r>
        <w:rPr>
          <w:rFonts w:hint="eastAsia"/>
          <w:sz w:val="21"/>
          <w:szCs w:val="24"/>
        </w:rPr>
        <w:t>、持有待售负债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43</w:t>
      </w:r>
      <w:r>
        <w:rPr>
          <w:rFonts w:hint="eastAsia"/>
          <w:sz w:val="21"/>
          <w:szCs w:val="24"/>
        </w:rPr>
        <w:t>、一年内到期的非流动负债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44</w:t>
      </w:r>
      <w:r>
        <w:rPr>
          <w:rFonts w:hint="eastAsia"/>
          <w:sz w:val="21"/>
          <w:szCs w:val="24"/>
        </w:rPr>
        <w:t>、其他流动负债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待转销项税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391,593.99</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915,607.91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391,593.99</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915,607.91</w:t>
            </w:r>
          </w:p>
        </w:tc>
      </w:tr>
    </w:tbl>
    <w:p>
      <w:pPr>
        <w:spacing w:beforeLines="0" w:afterLines="0"/>
        <w:jc w:val="left"/>
        <w:rPr>
          <w:rFonts w:hint="default"/>
          <w:sz w:val="18"/>
          <w:szCs w:val="24"/>
        </w:rPr>
      </w:pPr>
      <w:r>
        <w:rPr>
          <w:rFonts w:hint="eastAsia"/>
          <w:sz w:val="18"/>
          <w:szCs w:val="24"/>
        </w:rPr>
        <w:t>短期应付债券的增减变动：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798"/>
        <w:gridCol w:w="798"/>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债券名称</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发行日期</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债券期限</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本期发行</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按面值计提利息</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溢折价摊销</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本期偿还</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45</w:t>
      </w:r>
      <w:r>
        <w:rPr>
          <w:rFonts w:hint="eastAsia"/>
          <w:sz w:val="21"/>
          <w:szCs w:val="24"/>
        </w:rPr>
        <w:t>、长期借款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）长期借款分类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长期借款分类的说明：</w:t>
      </w:r>
    </w:p>
    <w:p>
      <w:pPr>
        <w:spacing w:beforeLines="0" w:afterLines="0"/>
        <w:jc w:val="left"/>
        <w:rPr>
          <w:rFonts w:hint="default"/>
          <w:sz w:val="18"/>
          <w:szCs w:val="24"/>
        </w:rPr>
      </w:pPr>
      <w:r>
        <w:rPr>
          <w:rFonts w:hint="eastAsia"/>
          <w:sz w:val="18"/>
          <w:szCs w:val="24"/>
        </w:rPr>
        <w:t>其他说明，包括利率区间：</w:t>
      </w:r>
    </w:p>
    <w:p>
      <w:pPr>
        <w:pStyle w:val="7"/>
        <w:spacing w:beforeLines="0" w:afterLines="0"/>
        <w:outlineLvl w:val="2"/>
        <w:rPr>
          <w:rFonts w:hint="default"/>
          <w:sz w:val="21"/>
          <w:szCs w:val="24"/>
        </w:rPr>
      </w:pPr>
      <w:r>
        <w:rPr>
          <w:rFonts w:hint="default"/>
          <w:sz w:val="21"/>
          <w:szCs w:val="24"/>
        </w:rPr>
        <w:t>46</w:t>
      </w:r>
      <w:r>
        <w:rPr>
          <w:rFonts w:hint="eastAsia"/>
          <w:sz w:val="21"/>
          <w:szCs w:val="24"/>
        </w:rPr>
        <w:t>、应付债券</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）应付债券</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）应付债券的增减变动（不包括划分为金融负债的优先股、永续债等其他金融工具）</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8"/>
        <w:gridCol w:w="798"/>
        <w:gridCol w:w="798"/>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债券名称</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面值</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发行日期</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债券期限</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发行金额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本期发行</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按面值计提利息</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溢折价摊销</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本期偿还</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）可转换公司债券的转股条件、转股时间说明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）划分为金融负债的其他金融工具说明</w:t>
      </w:r>
    </w:p>
    <w:p>
      <w:pPr>
        <w:spacing w:beforeLines="0" w:afterLines="0"/>
        <w:jc w:val="left"/>
        <w:rPr>
          <w:rFonts w:hint="default"/>
          <w:sz w:val="18"/>
          <w:szCs w:val="24"/>
        </w:rPr>
      </w:pPr>
      <w:r>
        <w:rPr>
          <w:rFonts w:hint="eastAsia"/>
          <w:sz w:val="18"/>
          <w:szCs w:val="24"/>
        </w:rPr>
        <w:t>期末发行在外的优先股、永续债等其他金融工具基本情况</w:t>
      </w:r>
    </w:p>
    <w:p>
      <w:pPr>
        <w:spacing w:beforeLines="0" w:afterLines="0"/>
        <w:jc w:val="left"/>
        <w:rPr>
          <w:rFonts w:hint="default"/>
          <w:sz w:val="18"/>
          <w:szCs w:val="24"/>
        </w:rPr>
      </w:pPr>
      <w:r>
        <w:rPr>
          <w:rFonts w:hint="eastAsia"/>
          <w:sz w:val="18"/>
          <w:szCs w:val="24"/>
        </w:rPr>
        <w:t>期末发行在外的优先股、永续债等金融工具变动情况表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7"/>
        <w:gridCol w:w="1063"/>
        <w:gridCol w:w="1063"/>
        <w:gridCol w:w="1063"/>
        <w:gridCol w:w="1062"/>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发行在外的金融工具</w:t>
            </w:r>
          </w:p>
        </w:tc>
        <w:tc>
          <w:tcPr>
            <w:tcW w:w="21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w:t>
            </w:r>
          </w:p>
        </w:tc>
        <w:tc>
          <w:tcPr>
            <w:tcW w:w="21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其他金融工具划分为金融负债的依据说明</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47</w:t>
      </w:r>
      <w:r>
        <w:rPr>
          <w:rFonts w:hint="eastAsia"/>
          <w:sz w:val="21"/>
          <w:szCs w:val="24"/>
        </w:rPr>
        <w:t>、租赁负债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48</w:t>
      </w:r>
      <w:r>
        <w:rPr>
          <w:rFonts w:hint="eastAsia"/>
          <w:sz w:val="21"/>
          <w:szCs w:val="24"/>
        </w:rPr>
        <w:t>、长期应付款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）按款项性质列示长期应付款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）专项应付款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形成原因</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49</w:t>
      </w:r>
      <w:r>
        <w:rPr>
          <w:rFonts w:hint="eastAsia"/>
          <w:sz w:val="21"/>
          <w:szCs w:val="24"/>
        </w:rPr>
        <w:t>、长期应付职工薪酬</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）长期应付职工薪酬表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）设定受益计划变动情况</w:t>
      </w:r>
    </w:p>
    <w:p>
      <w:pPr>
        <w:spacing w:beforeLines="0" w:afterLines="0"/>
        <w:jc w:val="left"/>
        <w:rPr>
          <w:rFonts w:hint="default"/>
          <w:sz w:val="18"/>
          <w:szCs w:val="24"/>
        </w:rPr>
      </w:pPr>
      <w:r>
        <w:rPr>
          <w:rFonts w:hint="eastAsia"/>
          <w:sz w:val="18"/>
          <w:szCs w:val="24"/>
        </w:rPr>
        <w:t>设定受益计划义务现值：</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计划资产：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设定受益计划净负债（净资产）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设定受益计划的内容及与之相关风险、对公司未来现金流量、时间和不确定性的影响说明：</w:t>
      </w:r>
    </w:p>
    <w:p>
      <w:pPr>
        <w:spacing w:beforeLines="0" w:afterLines="0"/>
        <w:jc w:val="left"/>
        <w:rPr>
          <w:rFonts w:hint="default"/>
          <w:sz w:val="18"/>
          <w:szCs w:val="24"/>
        </w:rPr>
      </w:pPr>
      <w:r>
        <w:rPr>
          <w:rFonts w:hint="eastAsia"/>
          <w:sz w:val="18"/>
          <w:szCs w:val="24"/>
        </w:rPr>
        <w:t>设定受益计划重大精算假设及敏感性分析结果说明：</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50</w:t>
      </w:r>
      <w:r>
        <w:rPr>
          <w:rFonts w:hint="eastAsia"/>
          <w:sz w:val="21"/>
          <w:szCs w:val="24"/>
        </w:rPr>
        <w:t>、预计负债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形成原因</w:t>
            </w:r>
          </w:p>
        </w:tc>
      </w:tr>
    </w:tbl>
    <w:p>
      <w:pPr>
        <w:spacing w:beforeLines="0" w:afterLines="0"/>
        <w:jc w:val="left"/>
        <w:rPr>
          <w:rFonts w:hint="default"/>
          <w:sz w:val="18"/>
          <w:szCs w:val="24"/>
        </w:rPr>
      </w:pPr>
      <w:r>
        <w:rPr>
          <w:rFonts w:hint="eastAsia"/>
          <w:sz w:val="18"/>
          <w:szCs w:val="24"/>
        </w:rPr>
        <w:t>其他说明，包括重要预计负债的相关重要假设、估计说明：</w:t>
      </w:r>
    </w:p>
    <w:p>
      <w:pPr>
        <w:pStyle w:val="7"/>
        <w:spacing w:beforeLines="0" w:afterLines="0"/>
        <w:outlineLvl w:val="2"/>
        <w:rPr>
          <w:rFonts w:hint="default"/>
          <w:sz w:val="21"/>
          <w:szCs w:val="24"/>
        </w:rPr>
      </w:pPr>
      <w:r>
        <w:rPr>
          <w:rFonts w:hint="default"/>
          <w:sz w:val="21"/>
          <w:szCs w:val="24"/>
        </w:rPr>
        <w:t>51</w:t>
      </w:r>
      <w:r>
        <w:rPr>
          <w:rFonts w:hint="eastAsia"/>
          <w:sz w:val="21"/>
          <w:szCs w:val="24"/>
        </w:rPr>
        <w:t>、递延收益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4"/>
        <w:gridCol w:w="1596"/>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形成原因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政府补助</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11,203,763.20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790,888.52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11,242,874.68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递延收益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9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11,203,763.20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790,888.52</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11,242,874.68</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涉及政府补助的项目：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2"/>
        <w:gridCol w:w="1249"/>
        <w:gridCol w:w="1010"/>
        <w:gridCol w:w="1010"/>
        <w:gridCol w:w="1010"/>
        <w:gridCol w:w="1010"/>
        <w:gridCol w:w="1010"/>
        <w:gridCol w:w="1248"/>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负债项目</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本期新增补助金额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本期计入营业外收入金额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本期计入其他收益金额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本期冲减成本费用金额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其他变动</w:t>
            </w: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与资产相关</w:t>
            </w:r>
            <w:r>
              <w:rPr>
                <w:rFonts w:hint="default"/>
                <w:sz w:val="18"/>
                <w:szCs w:val="24"/>
              </w:rPr>
              <w:t>/</w:t>
            </w:r>
            <w:r>
              <w:rPr>
                <w:rFonts w:hint="eastAsia"/>
                <w:sz w:val="18"/>
                <w:szCs w:val="24"/>
              </w:rPr>
              <w:t>与收益相关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基础设施建设补助</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6,982,500.38</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169,959.48</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6,812,540.90</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年产</w:t>
            </w:r>
            <w:r>
              <w:rPr>
                <w:rFonts w:hint="default"/>
                <w:sz w:val="18"/>
                <w:szCs w:val="24"/>
              </w:rPr>
              <w:t>45</w:t>
            </w:r>
            <w:r>
              <w:rPr>
                <w:rFonts w:hint="eastAsia"/>
                <w:sz w:val="18"/>
                <w:szCs w:val="24"/>
              </w:rPr>
              <w:t>万支新型阀门制造建设项目</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1,475,338.92</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168,610.20</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1,306,728.72</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与资产相关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企业技术改造综合奖</w:t>
            </w:r>
          </w:p>
        </w:tc>
        <w:tc>
          <w:tcPr>
            <w:tcW w:w="124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2,745,923.90</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452,318.84</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4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3,123,605.06</w:t>
            </w:r>
          </w:p>
        </w:tc>
        <w:tc>
          <w:tcPr>
            <w:tcW w:w="101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与资产相关</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52</w:t>
      </w:r>
      <w:r>
        <w:rPr>
          <w:rFonts w:hint="eastAsia"/>
          <w:sz w:val="21"/>
          <w:szCs w:val="24"/>
        </w:rPr>
        <w:t>、其他非流动负债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53</w:t>
      </w:r>
      <w:r>
        <w:rPr>
          <w:rFonts w:hint="eastAsia"/>
          <w:sz w:val="21"/>
          <w:szCs w:val="24"/>
        </w:rPr>
        <w:t>、股本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95"/>
        <w:gridCol w:w="1197"/>
        <w:gridCol w:w="1196"/>
        <w:gridCol w:w="1196"/>
        <w:gridCol w:w="1196"/>
        <w:gridCol w:w="1196"/>
        <w:gridCol w:w="1196"/>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1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98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本次变动增减（</w:t>
            </w:r>
            <w:r>
              <w:rPr>
                <w:rFonts w:hint="default"/>
                <w:sz w:val="18"/>
                <w:szCs w:val="24"/>
              </w:rPr>
              <w:t>+</w:t>
            </w:r>
            <w:r>
              <w:rPr>
                <w:rFonts w:hint="eastAsia"/>
                <w:sz w:val="18"/>
                <w:szCs w:val="24"/>
              </w:rPr>
              <w:t>、</w:t>
            </w:r>
            <w:r>
              <w:rPr>
                <w:rFonts w:hint="default"/>
                <w:sz w:val="18"/>
                <w:szCs w:val="24"/>
              </w:rPr>
              <w:t>-</w:t>
            </w:r>
            <w:r>
              <w:rPr>
                <w:rFonts w:hint="eastAsia"/>
                <w:sz w:val="18"/>
                <w:szCs w:val="24"/>
              </w:rPr>
              <w:t>）</w:t>
            </w:r>
          </w:p>
        </w:tc>
        <w:tc>
          <w:tcPr>
            <w:tcW w:w="11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发行新股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送股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公积金转股</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小计</w:t>
            </w:r>
          </w:p>
        </w:tc>
        <w:tc>
          <w:tcPr>
            <w:tcW w:w="119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1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股份总数</w:t>
            </w:r>
          </w:p>
        </w:tc>
        <w:tc>
          <w:tcPr>
            <w:tcW w:w="119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116,680,000.00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c>
          <w:tcPr>
            <w:tcW w:w="119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52,352,648.00</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169,032,648.00</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jc w:val="left"/>
        <w:rPr>
          <w:rFonts w:hint="eastAsia" w:ascii="宋体"/>
          <w:sz w:val="21"/>
          <w:szCs w:val="24"/>
          <w:lang w:val="zh-CN"/>
        </w:rPr>
      </w:pPr>
      <w:r>
        <w:rPr>
          <w:rFonts w:hint="eastAsia" w:ascii="宋体"/>
          <w:sz w:val="21"/>
          <w:szCs w:val="24"/>
          <w:lang w:val="zh-CN"/>
        </w:rPr>
        <w:t>（2）股本变更明细：</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公司于2020年12月11日召开2020年第一次临时股东大会，会议审议通过了《关于回购注销部分限制性股票的议案》、《关于变更公司注册资本与修改&lt;公司章程&gt;的议案》。由于公司2名原激励对象因个人原因离职，公司决定对该对象所持已获授但尚未解除限售的42,000.00股限制性股票进行回购注销。减少股本人民币42,000.00元，变更后的股本为人民币116,680,000.00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②公司于2021年5月19日召开的2020年度股东大会审议通过了《关于2020年度利润分配及资本公积金转增股本预案的议案》：以2020年12月31日公司总股本116,680,000.00股为基数，向全体股东每10股派息4.50元（含税）,共派发现金红利52,506,000.00元，同时以资本公积向全体股东每10股转增4.50股，共计转增52,506,000.00股，2021年10月25日，公司完成了工商变更，变更后的注册资本人民币169,186,000.00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③公司于2021年11月24日召开第四届董事会第七次会议，会议审议通过了《关于回购注销部分限制性股票的议案》。公司于2021年12月10日召开2021年第三次临时股东大会，会议审议通过了《关于回购注销部分限制性股票的议案》、《关于变更公司注册资本与修改&lt;公司章程&gt;的议案》，由于人员离职及不满足解锁条件回购注销153,352.00股，变更后的注册资本为人民币169,032,648.00元。</w:t>
      </w:r>
    </w:p>
    <w:p>
      <w:pPr>
        <w:pStyle w:val="7"/>
        <w:spacing w:beforeLines="0" w:afterLines="0"/>
        <w:outlineLvl w:val="2"/>
        <w:rPr>
          <w:rFonts w:hint="default"/>
          <w:sz w:val="21"/>
          <w:szCs w:val="24"/>
        </w:rPr>
      </w:pPr>
      <w:r>
        <w:rPr>
          <w:rFonts w:hint="default"/>
          <w:sz w:val="21"/>
          <w:szCs w:val="24"/>
        </w:rPr>
        <w:t>54</w:t>
      </w:r>
      <w:r>
        <w:rPr>
          <w:rFonts w:hint="eastAsia"/>
          <w:sz w:val="21"/>
          <w:szCs w:val="24"/>
        </w:rPr>
        <w:t>、其他权益工具</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）期末发行在外的优先股、永续债等其他金融工具基本情况</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）期末发行在外的优先股、永续债等金融工具变动情况表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7"/>
        <w:gridCol w:w="1063"/>
        <w:gridCol w:w="1063"/>
        <w:gridCol w:w="1063"/>
        <w:gridCol w:w="1062"/>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发行在外的金融工具</w:t>
            </w:r>
          </w:p>
        </w:tc>
        <w:tc>
          <w:tcPr>
            <w:tcW w:w="21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w:t>
            </w:r>
          </w:p>
        </w:tc>
        <w:tc>
          <w:tcPr>
            <w:tcW w:w="21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2124"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数量</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bl>
    <w:p>
      <w:pPr>
        <w:spacing w:beforeLines="0" w:afterLines="0"/>
        <w:jc w:val="left"/>
        <w:rPr>
          <w:rFonts w:hint="default"/>
          <w:sz w:val="18"/>
          <w:szCs w:val="24"/>
        </w:rPr>
      </w:pPr>
      <w:r>
        <w:rPr>
          <w:rFonts w:hint="eastAsia"/>
          <w:sz w:val="18"/>
          <w:szCs w:val="24"/>
        </w:rPr>
        <w:t>其他权益工具本期增减变动情况、变动原因说明，以及相关会计处理的依据：</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55</w:t>
      </w:r>
      <w:r>
        <w:rPr>
          <w:rFonts w:hint="eastAsia"/>
          <w:sz w:val="21"/>
          <w:szCs w:val="24"/>
        </w:rPr>
        <w:t>、资本公积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资本溢价（股本溢价）</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239,489,471.08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4,332,155.80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65,527,194.95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178,294,431.93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其他资本公积</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6,411,299.37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4,332,155.80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3,300,088.71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245,900,770.45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5,553,100.94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69,859,350.75</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181,594,520.64</w:t>
            </w:r>
          </w:p>
        </w:tc>
      </w:tr>
    </w:tbl>
    <w:p>
      <w:pPr>
        <w:spacing w:beforeLines="0" w:afterLines="0"/>
        <w:jc w:val="left"/>
        <w:rPr>
          <w:rFonts w:hint="default"/>
          <w:sz w:val="18"/>
          <w:szCs w:val="24"/>
        </w:rPr>
      </w:pPr>
      <w:r>
        <w:rPr>
          <w:rFonts w:hint="eastAsia"/>
          <w:sz w:val="18"/>
          <w:szCs w:val="24"/>
        </w:rPr>
        <w:t>其他说明，包括本期增减变动情况、变动原因说明：</w:t>
      </w:r>
    </w:p>
    <w:p>
      <w:pPr>
        <w:autoSpaceDE w:val="0"/>
        <w:autoSpaceDN w:val="0"/>
        <w:adjustRightInd w:val="0"/>
        <w:spacing w:before="150" w:beforeLines="0" w:after="150" w:afterLines="0"/>
        <w:ind w:firstLine="436"/>
        <w:jc w:val="left"/>
        <w:rPr>
          <w:rFonts w:hint="eastAsia" w:ascii="宋体"/>
          <w:sz w:val="21"/>
          <w:szCs w:val="24"/>
          <w:lang w:val="zh-CN"/>
        </w:rPr>
      </w:pPr>
      <w:r>
        <w:rPr>
          <w:rFonts w:hint="eastAsia" w:ascii="宋体"/>
          <w:sz w:val="21"/>
          <w:szCs w:val="24"/>
          <w:lang w:val="zh-CN"/>
        </w:rPr>
        <w:t>（2）股本溢价：</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于2021年5月19日召开的2020年度股东大会审议通过了《关于2020年度利润分配及资本公积金转增股本预案的议案》：以2020年12月31日公司总股本116,680,000.00股为基数，向全体股东每10股派息4.50元（含税）,共派发现金红利52,506,000.00元，同时以资本公积向全体股东每10股转增4.50股，共计转增52,506,000.00股，减少资本公积股本溢价52,506,000.00元。</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2021年11月24日，公司第四届董事会第七次会议通过了《关于2018年限制性股票激励计划第三个解锁期解锁条件成就的议案》、《关于调整限制性股票回购价格的议案》、《关于回购注销部分限制性股票的议案》等议案，公司于2021年12月10日召开2021年第三次临时股东大会，会议审议通过了《关于回购注销部分限制性股票的议案》、《关于变更公司注册资本与修改&lt;公司章程&gt;的议案》，本次可申请解锁的限制性股票数量为462,608.00股，将资本公积-其他资本公积4,332,155.80元调整到资本公积-股本溢价；由于人员离职及不满足解锁条件回购注销153,352.00股，减少对应资本公积股本溢价697,024.80元。</w:t>
      </w:r>
    </w:p>
    <w:p>
      <w:pPr>
        <w:autoSpaceDE w:val="0"/>
        <w:autoSpaceDN w:val="0"/>
        <w:adjustRightInd w:val="0"/>
        <w:spacing w:before="0" w:beforeLines="0" w:after="0" w:afterLines="0"/>
        <w:ind w:firstLine="420"/>
        <w:rPr>
          <w:rFonts w:hint="eastAsia" w:ascii="宋体"/>
          <w:sz w:val="21"/>
          <w:szCs w:val="24"/>
          <w:lang w:val="zh-CN"/>
        </w:rPr>
      </w:pPr>
      <w:r>
        <w:rPr>
          <w:rFonts w:hint="eastAsia" w:ascii="宋体"/>
          <w:sz w:val="21"/>
          <w:szCs w:val="24"/>
          <w:lang w:val="zh-CN"/>
        </w:rPr>
        <w:t>（3）其他资本公积：</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公司向限制性股票股权激励对象授予限制性股票，2021年度确认股份支付费用增加资本公积1,220,945.14元。</w:t>
      </w:r>
    </w:p>
    <w:p>
      <w:pPr>
        <w:pStyle w:val="7"/>
        <w:spacing w:beforeLines="0" w:afterLines="0"/>
        <w:outlineLvl w:val="2"/>
        <w:rPr>
          <w:rFonts w:hint="default"/>
          <w:sz w:val="21"/>
          <w:szCs w:val="24"/>
        </w:rPr>
      </w:pPr>
      <w:r>
        <w:rPr>
          <w:rFonts w:hint="default"/>
          <w:sz w:val="21"/>
          <w:szCs w:val="24"/>
        </w:rPr>
        <w:t>56</w:t>
      </w:r>
      <w:r>
        <w:rPr>
          <w:rFonts w:hint="eastAsia"/>
          <w:sz w:val="21"/>
          <w:szCs w:val="24"/>
        </w:rPr>
        <w:t>、库存股</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股份回购</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29,999,850.00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25,924,170.15</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4,075,679.85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限制性股票股权激励</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3,835,944.00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3,835,944.00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43,599,850.00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29,760,114.15</w:t>
            </w: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17,675,679.85</w:t>
            </w:r>
          </w:p>
        </w:tc>
      </w:tr>
    </w:tbl>
    <w:p>
      <w:pPr>
        <w:spacing w:beforeLines="0" w:afterLines="0"/>
        <w:jc w:val="left"/>
        <w:rPr>
          <w:rFonts w:hint="default"/>
          <w:sz w:val="18"/>
          <w:szCs w:val="24"/>
        </w:rPr>
      </w:pPr>
      <w:r>
        <w:rPr>
          <w:rFonts w:hint="eastAsia"/>
          <w:sz w:val="18"/>
          <w:szCs w:val="24"/>
        </w:rPr>
        <w:t>其他说明，包括本期增减变动情况、变动原因说明：</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①2021年12月，2018年实施的股权激励计划股权激励总股份的40%部分符合解禁条件，解禁限制性股票462,608.00股，回购注销153,352.00股，依据解禁和回购注销限制性股票数量减少回购义务，减少库存股3,835,944.00元。</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②2021年6月29日，公司第四届董事会第三次会议审议通过了《关于回购公司股份方案的议案》。截至2021年12月31日，公司累计通过深圳证券交易所以集中竞价方式累计回购公司3,147,626.00股股票，购股成本为人民币29,999,850.00元，增加库存股人民币29,999,850.00元。</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③2021年10月27日，公司召开第四届董事会第六次会议审议通过了《关于向激励对象授予限制性股票的议案》，向符合条件的80名激励对象授予272.00万股限制性股票，以2021年10月28日为授予日，授予价格为5.00元/股。截至2021年12月31日止，公司共收到80名激励对象缴纳的认购资金人民币13,600,000.00元，按照授予限制性股票的库存股数量减少库存股人民币25,924,170.15元，库存股高于认购资金总额的差额人民币12,324,170.15元冲减股本溢价。</w:t>
      </w:r>
    </w:p>
    <w:p>
      <w:pPr>
        <w:pStyle w:val="7"/>
        <w:spacing w:beforeLines="0" w:afterLines="0"/>
        <w:outlineLvl w:val="2"/>
        <w:rPr>
          <w:rFonts w:hint="default"/>
          <w:sz w:val="21"/>
          <w:szCs w:val="24"/>
        </w:rPr>
      </w:pPr>
      <w:r>
        <w:rPr>
          <w:rFonts w:hint="default"/>
          <w:sz w:val="21"/>
          <w:szCs w:val="24"/>
        </w:rPr>
        <w:t>57</w:t>
      </w:r>
      <w:r>
        <w:rPr>
          <w:rFonts w:hint="eastAsia"/>
          <w:sz w:val="21"/>
          <w:szCs w:val="24"/>
        </w:rPr>
        <w:t>、其他综合收益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7"/>
        <w:gridCol w:w="974"/>
        <w:gridCol w:w="852"/>
        <w:gridCol w:w="1050"/>
        <w:gridCol w:w="852"/>
        <w:gridCol w:w="852"/>
        <w:gridCol w:w="853"/>
        <w:gridCol w:w="852"/>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97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311"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72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97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本期所得税前发生额</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减：前期计入其他综合收益当期转入损益</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减：前期计入其他综合收益当期转入留存收益</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减：所得税费用</w:t>
            </w: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税后归属于母公司</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税后归属于少数股东</w:t>
            </w:r>
          </w:p>
        </w:tc>
        <w:tc>
          <w:tcPr>
            <w:tcW w:w="72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二、将重分类进损益的其他综合收益</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外币财务报表折算差额</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16,734.39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56,755.28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其他综合收益合计</w:t>
            </w:r>
          </w:p>
        </w:tc>
        <w:tc>
          <w:tcPr>
            <w:tcW w:w="97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16,734.39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10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85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40,020.89</w:t>
            </w:r>
          </w:p>
        </w:tc>
        <w:tc>
          <w:tcPr>
            <w:tcW w:w="8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72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56,755.28</w:t>
            </w:r>
          </w:p>
        </w:tc>
      </w:tr>
    </w:tbl>
    <w:p>
      <w:pPr>
        <w:spacing w:beforeLines="0" w:afterLines="0"/>
        <w:jc w:val="left"/>
        <w:rPr>
          <w:rFonts w:hint="default"/>
          <w:sz w:val="18"/>
          <w:szCs w:val="24"/>
        </w:rPr>
      </w:pPr>
      <w:r>
        <w:rPr>
          <w:rFonts w:hint="eastAsia"/>
          <w:sz w:val="18"/>
          <w:szCs w:val="24"/>
        </w:rPr>
        <w:t>其他说明，包括对现金流量套期损益的有效部分转为被套期项目初始确认金额调整：</w:t>
      </w:r>
    </w:p>
    <w:p>
      <w:pPr>
        <w:pStyle w:val="7"/>
        <w:spacing w:beforeLines="0" w:afterLines="0"/>
        <w:outlineLvl w:val="2"/>
        <w:rPr>
          <w:rFonts w:hint="default"/>
          <w:sz w:val="21"/>
          <w:szCs w:val="24"/>
        </w:rPr>
      </w:pPr>
      <w:r>
        <w:rPr>
          <w:rFonts w:hint="default"/>
          <w:sz w:val="21"/>
          <w:szCs w:val="24"/>
        </w:rPr>
        <w:t>58</w:t>
      </w:r>
      <w:r>
        <w:rPr>
          <w:rFonts w:hint="eastAsia"/>
          <w:sz w:val="21"/>
          <w:szCs w:val="24"/>
        </w:rPr>
        <w:t>、专项储备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bl>
    <w:p>
      <w:pPr>
        <w:spacing w:beforeLines="0" w:afterLines="0"/>
        <w:jc w:val="left"/>
        <w:rPr>
          <w:rFonts w:hint="default"/>
          <w:sz w:val="18"/>
          <w:szCs w:val="24"/>
        </w:rPr>
      </w:pPr>
      <w:r>
        <w:rPr>
          <w:rFonts w:hint="eastAsia"/>
          <w:sz w:val="18"/>
          <w:szCs w:val="24"/>
        </w:rPr>
        <w:t>其他说明，包括本期增减变动情况、变动原因说明：</w:t>
      </w:r>
    </w:p>
    <w:p>
      <w:pPr>
        <w:pStyle w:val="7"/>
        <w:spacing w:beforeLines="0" w:afterLines="0"/>
        <w:outlineLvl w:val="2"/>
        <w:rPr>
          <w:rFonts w:hint="default"/>
          <w:sz w:val="21"/>
          <w:szCs w:val="24"/>
        </w:rPr>
      </w:pPr>
      <w:r>
        <w:rPr>
          <w:rFonts w:hint="default"/>
          <w:sz w:val="21"/>
          <w:szCs w:val="24"/>
        </w:rPr>
        <w:t>59</w:t>
      </w:r>
      <w:r>
        <w:rPr>
          <w:rFonts w:hint="eastAsia"/>
          <w:sz w:val="21"/>
          <w:szCs w:val="24"/>
        </w:rPr>
        <w:t>、盈余公积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本期减少</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法定盈余公积</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51,972,593.74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58,404,405.20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51,972,593.74</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58,404,405.20</w:t>
            </w:r>
          </w:p>
        </w:tc>
      </w:tr>
    </w:tbl>
    <w:p>
      <w:pPr>
        <w:spacing w:beforeLines="0" w:afterLines="0"/>
        <w:jc w:val="left"/>
        <w:rPr>
          <w:rFonts w:hint="default"/>
          <w:sz w:val="18"/>
          <w:szCs w:val="24"/>
        </w:rPr>
      </w:pPr>
      <w:r>
        <w:rPr>
          <w:rFonts w:hint="eastAsia"/>
          <w:sz w:val="18"/>
          <w:szCs w:val="24"/>
        </w:rPr>
        <w:t>盈余公积说明，包括本期增减变动情况、变动原因说明：</w:t>
      </w:r>
    </w:p>
    <w:p>
      <w:pPr>
        <w:pStyle w:val="7"/>
        <w:spacing w:beforeLines="0" w:afterLines="0"/>
        <w:outlineLvl w:val="2"/>
        <w:rPr>
          <w:rFonts w:hint="default"/>
          <w:sz w:val="21"/>
          <w:szCs w:val="24"/>
        </w:rPr>
      </w:pPr>
      <w:r>
        <w:rPr>
          <w:rFonts w:hint="default"/>
          <w:sz w:val="21"/>
          <w:szCs w:val="24"/>
        </w:rPr>
        <w:t>60</w:t>
      </w:r>
      <w:r>
        <w:rPr>
          <w:rFonts w:hint="eastAsia"/>
          <w:sz w:val="21"/>
          <w:szCs w:val="24"/>
        </w:rPr>
        <w:t>、未分配利润</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725"/>
        <w:gridCol w:w="2924"/>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调整前上期末未分配利润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调整后期初未分配利润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252,498,577.96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253,603,762.45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加：本期归属于母公司所有者的净利润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60,993,488.79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减：提取法定盈余公积</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提取任意盈余公积</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6,431,811.46</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6,567,277.49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应付普通股股利</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52,494,300.00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52,506,000.00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7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期末未分配利润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254,565,955.29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252,498,577.96</w:t>
            </w:r>
          </w:p>
        </w:tc>
      </w:tr>
    </w:tbl>
    <w:p>
      <w:pPr>
        <w:spacing w:beforeLines="0" w:afterLines="0"/>
        <w:jc w:val="left"/>
        <w:rPr>
          <w:rFonts w:hint="default"/>
          <w:sz w:val="18"/>
          <w:szCs w:val="24"/>
        </w:rPr>
      </w:pPr>
      <w:r>
        <w:rPr>
          <w:rFonts w:hint="eastAsia"/>
          <w:sz w:val="18"/>
          <w:szCs w:val="24"/>
        </w:rPr>
        <w:t>调整期初未分配利润明细：</w:t>
      </w:r>
    </w:p>
    <w:p>
      <w:pPr>
        <w:spacing w:beforeLines="0" w:afterLines="0"/>
        <w:jc w:val="left"/>
        <w:rPr>
          <w:rFonts w:hint="default"/>
          <w:sz w:val="18"/>
          <w:szCs w:val="24"/>
        </w:rPr>
      </w:pPr>
      <w:r>
        <w:rPr>
          <w:rFonts w:hint="default"/>
          <w:sz w:val="18"/>
          <w:szCs w:val="24"/>
        </w:rPr>
        <w:t>1)</w:t>
      </w:r>
      <w:r>
        <w:rPr>
          <w:rFonts w:hint="eastAsia"/>
          <w:sz w:val="18"/>
          <w:szCs w:val="24"/>
        </w:rPr>
        <w:t>、由于《企业会计准则》及其相关新规定进行追溯调整，影响期初未分配利润元。</w:t>
      </w:r>
    </w:p>
    <w:p>
      <w:pPr>
        <w:spacing w:beforeLines="0" w:afterLines="0"/>
        <w:jc w:val="left"/>
        <w:rPr>
          <w:rFonts w:hint="default"/>
          <w:sz w:val="18"/>
          <w:szCs w:val="24"/>
        </w:rPr>
      </w:pPr>
      <w:r>
        <w:rPr>
          <w:rFonts w:hint="default"/>
          <w:sz w:val="18"/>
          <w:szCs w:val="24"/>
        </w:rPr>
        <w:t>2)</w:t>
      </w:r>
      <w:r>
        <w:rPr>
          <w:rFonts w:hint="eastAsia"/>
          <w:sz w:val="18"/>
          <w:szCs w:val="24"/>
        </w:rPr>
        <w:t>、由于会计政策变更，影响期初未分配利润元。</w:t>
      </w:r>
    </w:p>
    <w:p>
      <w:pPr>
        <w:spacing w:beforeLines="0" w:afterLines="0"/>
        <w:jc w:val="left"/>
        <w:rPr>
          <w:rFonts w:hint="default"/>
          <w:sz w:val="18"/>
          <w:szCs w:val="24"/>
        </w:rPr>
      </w:pPr>
      <w:r>
        <w:rPr>
          <w:rFonts w:hint="default"/>
          <w:sz w:val="18"/>
          <w:szCs w:val="24"/>
        </w:rPr>
        <w:t>3)</w:t>
      </w:r>
      <w:r>
        <w:rPr>
          <w:rFonts w:hint="eastAsia"/>
          <w:sz w:val="18"/>
          <w:szCs w:val="24"/>
        </w:rPr>
        <w:t>、由于重大会计差错更正，影响期初未分配利润元。</w:t>
      </w:r>
    </w:p>
    <w:p>
      <w:pPr>
        <w:spacing w:beforeLines="0" w:afterLines="0"/>
        <w:jc w:val="left"/>
        <w:rPr>
          <w:rFonts w:hint="default"/>
          <w:sz w:val="18"/>
          <w:szCs w:val="24"/>
        </w:rPr>
      </w:pPr>
      <w:r>
        <w:rPr>
          <w:rFonts w:hint="default"/>
          <w:sz w:val="18"/>
          <w:szCs w:val="24"/>
        </w:rPr>
        <w:t>4)</w:t>
      </w:r>
      <w:r>
        <w:rPr>
          <w:rFonts w:hint="eastAsia"/>
          <w:sz w:val="18"/>
          <w:szCs w:val="24"/>
        </w:rPr>
        <w:t>、由于同一控制导致的合并范围变更，影响期初未分配利润元。</w:t>
      </w:r>
    </w:p>
    <w:p>
      <w:pPr>
        <w:spacing w:beforeLines="0" w:afterLines="0"/>
        <w:jc w:val="left"/>
        <w:rPr>
          <w:rFonts w:hint="default"/>
          <w:sz w:val="18"/>
          <w:szCs w:val="24"/>
        </w:rPr>
      </w:pPr>
      <w:r>
        <w:rPr>
          <w:rFonts w:hint="default"/>
          <w:sz w:val="18"/>
          <w:szCs w:val="24"/>
        </w:rPr>
        <w:t>5)</w:t>
      </w:r>
      <w:r>
        <w:rPr>
          <w:rFonts w:hint="eastAsia"/>
          <w:sz w:val="18"/>
          <w:szCs w:val="24"/>
        </w:rPr>
        <w:t>、其他调整合计影响期初未分配利润元。</w:t>
      </w:r>
    </w:p>
    <w:p>
      <w:pPr>
        <w:pStyle w:val="7"/>
        <w:spacing w:beforeLines="0" w:afterLines="0"/>
        <w:outlineLvl w:val="2"/>
        <w:rPr>
          <w:rFonts w:hint="default"/>
          <w:sz w:val="21"/>
          <w:szCs w:val="24"/>
        </w:rPr>
      </w:pPr>
      <w:r>
        <w:rPr>
          <w:rFonts w:hint="default"/>
          <w:sz w:val="21"/>
          <w:szCs w:val="24"/>
        </w:rPr>
        <w:t>61</w:t>
      </w:r>
      <w:r>
        <w:rPr>
          <w:rFonts w:hint="eastAsia"/>
          <w:sz w:val="21"/>
          <w:szCs w:val="24"/>
        </w:rPr>
        <w:t>、营业收入和营业成本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2"/>
        <w:gridCol w:w="1916"/>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83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82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主营业务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411,754,090.08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278,675,723.03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343,353,901.86</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225,232,151.08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其他业务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3,408,653.62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1,188,159.57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1,236,122.77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386,445.93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415,162,743.70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279,863,882.60</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344,590,024.63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225,618,597.01</w:t>
            </w:r>
          </w:p>
        </w:tc>
      </w:tr>
    </w:tbl>
    <w:p>
      <w:pPr>
        <w:spacing w:beforeLines="0" w:afterLines="0"/>
        <w:jc w:val="left"/>
        <w:rPr>
          <w:rFonts w:hint="default"/>
          <w:sz w:val="18"/>
          <w:szCs w:val="24"/>
        </w:rPr>
      </w:pPr>
      <w:r>
        <w:rPr>
          <w:rFonts w:hint="eastAsia"/>
          <w:sz w:val="18"/>
          <w:szCs w:val="24"/>
        </w:rPr>
        <w:t>经审计扣除非经常损益前后净利润孰低是否为负值</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收入相关信息：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w:t>
            </w:r>
            <w:r>
              <w:rPr>
                <w:rFonts w:hint="default"/>
                <w:sz w:val="18"/>
                <w:szCs w:val="24"/>
              </w:rPr>
              <w:t>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w:t>
            </w:r>
            <w:r>
              <w:rPr>
                <w:rFonts w:hint="default"/>
                <w:sz w:val="18"/>
                <w:szCs w:val="24"/>
              </w:rPr>
              <w:t>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2021</w:t>
            </w:r>
            <w:r>
              <w:rPr>
                <w:rFonts w:hint="eastAsia"/>
                <w:sz w:val="18"/>
                <w:szCs w:val="24"/>
              </w:rPr>
              <w:t>年度</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商品类型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阀门销售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324,499,289.09</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324,499,289.09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过滤器销售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22,027,103.98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22,027,103.98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阀门零件及管件销售</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32,537,648.03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32,537,648.03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汽车配件</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32,624,388.62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32,624,388.62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3,474,313.98</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3,474,313.98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按经营地区分类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内销收入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102,410,136.43</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102,410,136.43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出口收入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312,752,607.27</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312,752,607.27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市场或客户类型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合同类型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按商品转让的时间分类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按合同期限分类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按销售渠道分类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与履约义务相关的信息：</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不适用</w:t>
      </w:r>
    </w:p>
    <w:p>
      <w:pPr>
        <w:spacing w:beforeLines="0" w:afterLines="0"/>
        <w:jc w:val="left"/>
        <w:rPr>
          <w:rFonts w:hint="default"/>
          <w:sz w:val="18"/>
          <w:szCs w:val="24"/>
        </w:rPr>
      </w:pPr>
      <w:r>
        <w:rPr>
          <w:rFonts w:hint="eastAsia"/>
          <w:sz w:val="18"/>
          <w:szCs w:val="24"/>
        </w:rPr>
        <w:t>与分摊至剩余履约义务的交易价格相关的信息：</w:t>
      </w:r>
    </w:p>
    <w:p>
      <w:pPr>
        <w:spacing w:beforeLines="0" w:afterLines="0"/>
        <w:jc w:val="left"/>
        <w:rPr>
          <w:rFonts w:hint="default"/>
          <w:sz w:val="18"/>
          <w:szCs w:val="24"/>
        </w:rPr>
      </w:pPr>
      <w:r>
        <w:rPr>
          <w:rFonts w:hint="eastAsia"/>
          <w:sz w:val="18"/>
          <w:szCs w:val="24"/>
        </w:rPr>
        <w:t>本报告期末已签订合同、但尚未履行或尚未履行完毕的履约义务所对应的收入金额为</w:t>
      </w:r>
      <w:r>
        <w:rPr>
          <w:rFonts w:hint="default"/>
          <w:sz w:val="18"/>
          <w:szCs w:val="24"/>
        </w:rPr>
        <w:t>16,914,445.94</w:t>
      </w:r>
      <w:r>
        <w:rPr>
          <w:rFonts w:hint="eastAsia"/>
          <w:sz w:val="18"/>
          <w:szCs w:val="24"/>
        </w:rPr>
        <w:t>元，其中，</w:t>
      </w:r>
      <w:r>
        <w:rPr>
          <w:rFonts w:hint="default"/>
          <w:sz w:val="18"/>
          <w:szCs w:val="24"/>
        </w:rPr>
        <w:t>16,914,445.94</w:t>
      </w:r>
      <w:r>
        <w:rPr>
          <w:rFonts w:hint="eastAsia"/>
          <w:sz w:val="18"/>
          <w:szCs w:val="24"/>
        </w:rPr>
        <w:t>元预计将于</w:t>
      </w:r>
      <w:r>
        <w:rPr>
          <w:rFonts w:hint="default"/>
          <w:sz w:val="18"/>
          <w:szCs w:val="24"/>
        </w:rPr>
        <w:t>2022</w:t>
      </w:r>
      <w:r>
        <w:rPr>
          <w:rFonts w:hint="eastAsia"/>
          <w:sz w:val="18"/>
          <w:szCs w:val="24"/>
        </w:rPr>
        <w:t>年度确认收入，元预计将于年度确认收入，元预计将于年度确认收入。</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62</w:t>
      </w:r>
      <w:r>
        <w:rPr>
          <w:rFonts w:hint="eastAsia"/>
          <w:sz w:val="21"/>
          <w:szCs w:val="24"/>
        </w:rPr>
        <w:t>、税金及附加</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城市维护建设税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1,126,991.65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1,554,320.46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482,996.42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666,137.34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房产税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1,253,038.73</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1,205,386.97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土地使用税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469,715.40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498,696.11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车船使用税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13,601.87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13,570.88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印花税</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182,895.56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107,797.90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地方教育费附加</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321,997.64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444,091.57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地方水利建设基金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111,022.90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5,868.92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16,446.40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3,857,106.19</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4,617,470.53</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63</w:t>
      </w:r>
      <w:r>
        <w:rPr>
          <w:rFonts w:hint="eastAsia"/>
          <w:sz w:val="21"/>
          <w:szCs w:val="24"/>
        </w:rPr>
        <w:t>、销售费用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办公费及差旅费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795,048.82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1,159,646.84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3,091,424.90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3,959,606.68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业务宣传费及展位费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547,929.26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582,690.22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检验费及认证费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6,932,266.12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3,165,318.07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佣金及咨询费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15,492,495.37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10,369,401.16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水电费、通讯费及其他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1,024,041.60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1,584,350.61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27,883,206.07</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20,821,013.58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64</w:t>
      </w:r>
      <w:r>
        <w:rPr>
          <w:rFonts w:hint="eastAsia"/>
          <w:sz w:val="21"/>
          <w:szCs w:val="24"/>
        </w:rPr>
        <w:t>、管理费用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办公费及差旅费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568,511.42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372,965.72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业务招待费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399,528.32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389,591.04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12,101,182.01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9,818,298.45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折旧及摊销</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4,031,424.91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3,833,818.31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股权激励费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729,867.41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1,935,150.15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3,970,697.31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6,907,688.76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21,801,211.38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23,257,512.43</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65</w:t>
      </w:r>
      <w:r>
        <w:rPr>
          <w:rFonts w:hint="eastAsia"/>
          <w:sz w:val="21"/>
          <w:szCs w:val="24"/>
        </w:rPr>
        <w:t>、研发费用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工资及附加</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10,905,142.79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11,342,717.08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折旧费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1,263,107.20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1,308,792.08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材料及调试费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11,968,693.76</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7,914,297.19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59,110.57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672,113.33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24,196,054.32</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21,237,919.68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66</w:t>
      </w:r>
      <w:r>
        <w:rPr>
          <w:rFonts w:hint="eastAsia"/>
          <w:sz w:val="21"/>
          <w:szCs w:val="24"/>
        </w:rPr>
        <w:t>、财务费用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利息支出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1,021,052.77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639,030.28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减：利息收入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275,540.94</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557,207.33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手续费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411,091.23</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466,661.66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汇兑损益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1,391,609.20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1,240,597.97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2,548,212.26</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1,789,082.58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67</w:t>
      </w:r>
      <w:r>
        <w:rPr>
          <w:rFonts w:hint="eastAsia"/>
          <w:sz w:val="21"/>
          <w:szCs w:val="24"/>
        </w:rPr>
        <w:t>、其他收益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产生其他收益的来源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与资产相关的政府补助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790,888.52</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592,645.78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与收益相关的政府补助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2,224,000.65</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3,503,538.92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手续费返还</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51,401.30</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58,869.66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税收减免</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85,181.87</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15,644.53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3,151,472.34</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4,170,698.89</w:t>
            </w:r>
          </w:p>
        </w:tc>
      </w:tr>
    </w:tbl>
    <w:p>
      <w:pPr>
        <w:pStyle w:val="7"/>
        <w:spacing w:beforeLines="0" w:afterLines="0"/>
        <w:outlineLvl w:val="2"/>
        <w:rPr>
          <w:rFonts w:hint="default"/>
          <w:sz w:val="21"/>
          <w:szCs w:val="24"/>
        </w:rPr>
      </w:pPr>
      <w:r>
        <w:rPr>
          <w:rFonts w:hint="default"/>
          <w:sz w:val="21"/>
          <w:szCs w:val="24"/>
        </w:rPr>
        <w:t>68</w:t>
      </w:r>
      <w:r>
        <w:rPr>
          <w:rFonts w:hint="eastAsia"/>
          <w:sz w:val="21"/>
          <w:szCs w:val="24"/>
        </w:rPr>
        <w:t>、投资收益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60"/>
        <w:gridCol w:w="3190"/>
        <w:gridCol w:w="2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处置交易性金融资产取得的投资收益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14,361,630.99</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8,009,697.81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外汇期权收益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55,250.00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430,900.00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远期结售汇损失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-129,550.00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大额存单在持有期间取得的收益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1,498,850.00</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875,350.00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6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15,915,730.99</w:t>
            </w:r>
          </w:p>
        </w:tc>
        <w:tc>
          <w:tcPr>
            <w:tcW w:w="291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9,186,397.81</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69</w:t>
      </w:r>
      <w:r>
        <w:rPr>
          <w:rFonts w:hint="eastAsia"/>
          <w:sz w:val="21"/>
          <w:szCs w:val="24"/>
        </w:rPr>
        <w:t>、净敞口套期收益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70</w:t>
      </w:r>
      <w:r>
        <w:rPr>
          <w:rFonts w:hint="eastAsia"/>
          <w:sz w:val="21"/>
          <w:szCs w:val="24"/>
        </w:rPr>
        <w:t>、公允价值变动收益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产生公允价值变动收益的来源</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交易性金融资产</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-3,398,253.30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4,633,212.87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其中：衍生金融工具产生的公允价值变动收益</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-3,398,253.30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4,633,212.87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交易性金融负债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-3,366,653.30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4,601,612.87</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71</w:t>
      </w:r>
      <w:r>
        <w:rPr>
          <w:rFonts w:hint="eastAsia"/>
          <w:sz w:val="21"/>
          <w:szCs w:val="24"/>
        </w:rPr>
        <w:t>、信用减值损失</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应收账款坏账损失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-2,277,097.49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146,184.21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其他应收款坏账损失</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-141,046.39</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443,447.37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-2,418,143.88</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589,631.58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72</w:t>
      </w:r>
      <w:r>
        <w:rPr>
          <w:rFonts w:hint="eastAsia"/>
          <w:sz w:val="21"/>
          <w:szCs w:val="24"/>
        </w:rPr>
        <w:t>、资产减值损失</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二、存货跌价损失及合同履约成本减值损失</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-2,339,868.91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-376,117.28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-2,339,868.91</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-376,117.28</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73</w:t>
      </w:r>
      <w:r>
        <w:rPr>
          <w:rFonts w:hint="eastAsia"/>
          <w:sz w:val="21"/>
          <w:szCs w:val="24"/>
        </w:rPr>
        <w:t>、资产处置收益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资产处置收益的来源</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处置固定资产收益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144,039.41</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269,314.21</w:t>
            </w:r>
          </w:p>
        </w:tc>
      </w:tr>
    </w:tbl>
    <w:p>
      <w:pPr>
        <w:pStyle w:val="7"/>
        <w:spacing w:beforeLines="0" w:afterLines="0"/>
        <w:outlineLvl w:val="2"/>
        <w:rPr>
          <w:rFonts w:hint="default"/>
          <w:sz w:val="21"/>
          <w:szCs w:val="24"/>
        </w:rPr>
      </w:pPr>
      <w:r>
        <w:rPr>
          <w:rFonts w:hint="default"/>
          <w:sz w:val="21"/>
          <w:szCs w:val="24"/>
        </w:rPr>
        <w:t>74</w:t>
      </w:r>
      <w:r>
        <w:rPr>
          <w:rFonts w:hint="eastAsia"/>
          <w:sz w:val="21"/>
          <w:szCs w:val="24"/>
        </w:rPr>
        <w:t>、营业外收入</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计入当期非经常性损益的金额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非货币性资产交换利得</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392,009.51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104,596.17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1,156,579.93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1,429,580.54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1,548,589.44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1,534,176.71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计入当期损益的政府补助：</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
        <w:gridCol w:w="1063"/>
        <w:gridCol w:w="1063"/>
        <w:gridCol w:w="1063"/>
        <w:gridCol w:w="1063"/>
        <w:gridCol w:w="1063"/>
        <w:gridCol w:w="1063"/>
        <w:gridCol w:w="1063"/>
        <w:gridCol w:w="1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补助项目</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发放主体</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发放原因</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性质类型</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补贴是否影响当年盈亏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是否特殊补贴</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上期发生金额</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与资产相关</w:t>
            </w:r>
            <w:r>
              <w:rPr>
                <w:rFonts w:hint="default"/>
                <w:sz w:val="18"/>
                <w:szCs w:val="24"/>
              </w:rPr>
              <w:t>/</w:t>
            </w:r>
            <w:r>
              <w:rPr>
                <w:rFonts w:hint="eastAsia"/>
                <w:sz w:val="18"/>
                <w:szCs w:val="24"/>
              </w:rPr>
              <w:t>与收益相关</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75</w:t>
      </w:r>
      <w:r>
        <w:rPr>
          <w:rFonts w:hint="eastAsia"/>
          <w:sz w:val="21"/>
          <w:szCs w:val="24"/>
        </w:rPr>
        <w:t>、营业外支出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9"/>
        <w:gridCol w:w="2395"/>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计入当期非经常性损益的金额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非货币性资产交换损失</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12,677.19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658,736.19</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对外捐赠</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580,000.00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61,826.67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134,792.83</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112,503.86</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1,373,529.02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76</w:t>
      </w:r>
      <w:r>
        <w:rPr>
          <w:rFonts w:hint="eastAsia"/>
          <w:sz w:val="21"/>
          <w:szCs w:val="24"/>
        </w:rPr>
        <w:t>、所得税费用</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）所得税费用表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当期所得税费用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9,771,574.15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9,407,159.54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递延所得税费用</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-3,229,329.83</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-1,524,637.95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6,542,244.32</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7,882,521.59</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）会计利润与所得税费用调整过程</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79"/>
        <w:gridCol w:w="47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利润总额</w:t>
            </w:r>
          </w:p>
        </w:tc>
        <w:tc>
          <w:tcPr>
            <w:tcW w:w="4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67,535,733.11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按法定</w:t>
            </w:r>
            <w:r>
              <w:rPr>
                <w:rFonts w:hint="default"/>
                <w:sz w:val="18"/>
                <w:szCs w:val="24"/>
              </w:rPr>
              <w:t>/</w:t>
            </w:r>
            <w:r>
              <w:rPr>
                <w:rFonts w:hint="eastAsia"/>
                <w:sz w:val="18"/>
                <w:szCs w:val="24"/>
              </w:rPr>
              <w:t>适用税率计算的所得税费用</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10,130,359.97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子公司适用不同税率的影响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-225,518.45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调整以前期间所得税的影响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40,676.18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不可抵扣的成本、费用和损失的影响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139,857.18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本期未确认递延所得税资产的可抵扣暂时性差异或可抵扣亏损的影响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941.08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技术开发费加计扣除的影响</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-3,579,654.98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税率变化导致的递延所得税资产</w:t>
            </w:r>
            <w:r>
              <w:rPr>
                <w:rFonts w:hint="default"/>
                <w:sz w:val="18"/>
                <w:szCs w:val="24"/>
              </w:rPr>
              <w:t>/</w:t>
            </w:r>
            <w:r>
              <w:rPr>
                <w:rFonts w:hint="eastAsia"/>
                <w:sz w:val="18"/>
                <w:szCs w:val="24"/>
              </w:rPr>
              <w:t>负债的变化</w:t>
            </w:r>
          </w:p>
        </w:tc>
        <w:tc>
          <w:tcPr>
            <w:tcW w:w="4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35,583.34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所得税费用</w:t>
            </w:r>
          </w:p>
        </w:tc>
        <w:tc>
          <w:tcPr>
            <w:tcW w:w="47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6,542,244.32</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77</w:t>
      </w:r>
      <w:r>
        <w:rPr>
          <w:rFonts w:hint="eastAsia"/>
          <w:sz w:val="21"/>
          <w:szCs w:val="24"/>
        </w:rPr>
        <w:t>、其他综合收益</w:t>
      </w:r>
    </w:p>
    <w:p>
      <w:pPr>
        <w:spacing w:beforeLines="0" w:afterLines="0"/>
        <w:jc w:val="left"/>
        <w:rPr>
          <w:rFonts w:hint="default"/>
          <w:sz w:val="18"/>
          <w:szCs w:val="24"/>
        </w:rPr>
      </w:pPr>
      <w:r>
        <w:rPr>
          <w:rFonts w:hint="eastAsia"/>
          <w:sz w:val="18"/>
          <w:szCs w:val="24"/>
        </w:rPr>
        <w:t>详见附注。</w:t>
      </w:r>
    </w:p>
    <w:p>
      <w:pPr>
        <w:pStyle w:val="7"/>
        <w:spacing w:beforeLines="0" w:afterLines="0"/>
        <w:outlineLvl w:val="2"/>
        <w:rPr>
          <w:rFonts w:hint="default"/>
          <w:sz w:val="21"/>
          <w:szCs w:val="24"/>
        </w:rPr>
      </w:pPr>
      <w:r>
        <w:rPr>
          <w:rFonts w:hint="default"/>
          <w:sz w:val="21"/>
          <w:szCs w:val="24"/>
        </w:rPr>
        <w:t>78</w:t>
      </w:r>
      <w:r>
        <w:rPr>
          <w:rFonts w:hint="eastAsia"/>
          <w:sz w:val="21"/>
          <w:szCs w:val="24"/>
        </w:rPr>
        <w:t>、现金流量表项目</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）收到的其他与经营活动有关的现金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补贴收入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2,195,805.05</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6,474,608.58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利息收入</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275,540.94</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557,207.33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往来款及其他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6,858,184.77</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1,505,125.79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9,329,530.76</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8,536,941.70</w:t>
            </w:r>
          </w:p>
        </w:tc>
      </w:tr>
    </w:tbl>
    <w:p>
      <w:pPr>
        <w:spacing w:beforeLines="0" w:afterLines="0"/>
        <w:jc w:val="left"/>
        <w:rPr>
          <w:rFonts w:hint="default"/>
          <w:sz w:val="18"/>
          <w:szCs w:val="24"/>
        </w:rPr>
      </w:pPr>
      <w:r>
        <w:rPr>
          <w:rFonts w:hint="eastAsia"/>
          <w:sz w:val="18"/>
          <w:szCs w:val="24"/>
        </w:rPr>
        <w:t>收到的其他与经营活动有关的现金说明：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）支付的其他与经营活动有关的现金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管理费用及研发费用中的现金支出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4,992,313.52</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10,774,899.68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销售费用中的现金支出</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24,556,874.81</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15,209,598.36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往来款及其他</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2,037,545.96</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6,486,947.64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31,586,734.29</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32,471,445.68</w:t>
            </w:r>
          </w:p>
        </w:tc>
      </w:tr>
    </w:tbl>
    <w:p>
      <w:pPr>
        <w:spacing w:beforeLines="0" w:afterLines="0"/>
        <w:jc w:val="left"/>
        <w:rPr>
          <w:rFonts w:hint="default"/>
          <w:sz w:val="18"/>
          <w:szCs w:val="24"/>
        </w:rPr>
      </w:pPr>
      <w:r>
        <w:rPr>
          <w:rFonts w:hint="eastAsia"/>
          <w:sz w:val="18"/>
          <w:szCs w:val="24"/>
        </w:rPr>
        <w:t>支付的其他与经营活动有关的现金说明：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）收到的其他与投资活动有关的现金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股权转让押金款</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10,000,000.00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收到的其他与投资活动有关的现金说明：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）支付的其他与投资活动有关的现金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支付的其他与投资活动有关的现金说明：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）收到的其他与筹资活动有关的现金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员工缴纳限制性股票收到的现金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13,600,000.00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13,600,000.00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收到的其他与筹资活动有关的现金说明：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）支付的其他与筹资活动有关的现金</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3"/>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回购股份支付的现金</w:t>
            </w:r>
          </w:p>
        </w:tc>
        <w:tc>
          <w:tcPr>
            <w:tcW w:w="31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30,850,226.80</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370,860.00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30,850,226.80</w:t>
            </w:r>
          </w:p>
        </w:tc>
        <w:tc>
          <w:tcPr>
            <w:tcW w:w="31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370,860.00</w:t>
            </w:r>
          </w:p>
        </w:tc>
      </w:tr>
    </w:tbl>
    <w:p>
      <w:pPr>
        <w:spacing w:beforeLines="0" w:afterLines="0"/>
        <w:jc w:val="left"/>
        <w:rPr>
          <w:rFonts w:hint="default"/>
          <w:sz w:val="18"/>
          <w:szCs w:val="24"/>
        </w:rPr>
      </w:pPr>
      <w:r>
        <w:rPr>
          <w:rFonts w:hint="eastAsia"/>
          <w:sz w:val="18"/>
          <w:szCs w:val="24"/>
        </w:rPr>
        <w:t>支付的其他与筹资活动有关的现金说明：</w:t>
      </w:r>
    </w:p>
    <w:p>
      <w:pPr>
        <w:pStyle w:val="7"/>
        <w:spacing w:beforeLines="0" w:afterLines="0"/>
        <w:outlineLvl w:val="2"/>
        <w:rPr>
          <w:rFonts w:hint="default"/>
          <w:sz w:val="21"/>
          <w:szCs w:val="24"/>
        </w:rPr>
      </w:pPr>
      <w:r>
        <w:rPr>
          <w:rFonts w:hint="default"/>
          <w:sz w:val="21"/>
          <w:szCs w:val="24"/>
        </w:rPr>
        <w:t>79</w:t>
      </w:r>
      <w:r>
        <w:rPr>
          <w:rFonts w:hint="eastAsia"/>
          <w:sz w:val="21"/>
          <w:szCs w:val="24"/>
        </w:rPr>
        <w:t>、现金流量表补充资料</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）现金流量表补充资料</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补充资料</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本期金额</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．将净利润调节为经营活动现金流量：</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净利润</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60,993,488.79</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57,968,093.00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加：资产减值准备</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4,758,012.79</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-213,514.30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固定资产折旧、油气资产折耗、生产性生物资产折旧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22,405,184.83</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21,577,859.15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使用权资产折旧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无形资产摊销</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1,097,385.87</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1,076,978.22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长期待摊费用摊销</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106,589.30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63,547.20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处置固定资产、无形资产和其他长期资产的损失（收益以“－”号填列）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-144,039.41</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-269,314.21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固定资产报废损失（收益以“－”号填列）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-379,332.32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554,140.02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公允价值变动损失（收益以“－”号填列）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3,366,653.30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-4,601,612.87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财务费用（收益以“－”号填列）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1,186,429.58</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1,744,411.13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投资损失（收益以“－”号填列）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-15,915,730.99</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-9,186,397.81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递延所得税资产减少（增加以“－”号填列）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-2,748,930.00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-1,712,664.54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递延所得税负债增加（减少以“－”号填列）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-478,641.06</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188,026.59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存货的减少（增加以“－”号填列）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-40,643,668.67</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-4,610,292.43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经营性应收项目的减少（增加以“－”号填列）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-36,252,379.22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14,251,899.87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经营性应付项目的增加（减少以“－”号填列）</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14,036,306.72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9,658,634.39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其他</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3,456,336.34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经营活动产生的现金流量净额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11,387,329.51</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89,946,129.75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．不涉及现金收支的重大投资和筹资活动：</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债务转为资本</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一年内到期的可转换公司债券</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融资租入固定资产</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．现金及现金等价物净变动情况：</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现金的期末余额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80,991,568.72</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减：现金的期初余额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41,257,412.55</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52,223,221.72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加：现金等价物的期末余额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减：现金等价物的期初余额</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现金及现金等价物净增加额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39,734,156.17</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-10,965,809.17</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）本期支付的取得子公司的现金净额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8"/>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）本期收到的处置子公司的现金净额</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8"/>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45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）现金和现金等价物的构成</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一、现金</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80,991,568.72</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41,257,412.55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其中：库存现金</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1,416,007.24</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88,655.07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可随时用于支付的银行存款</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79,575,561.48</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41,168,757.48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三、期末现金及现金等价物余额</w:t>
            </w:r>
          </w:p>
        </w:tc>
        <w:tc>
          <w:tcPr>
            <w:tcW w:w="305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80,991,568.72</w:t>
            </w:r>
          </w:p>
        </w:tc>
        <w:tc>
          <w:tcPr>
            <w:tcW w:w="31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41,257,412.55</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80</w:t>
      </w:r>
      <w:r>
        <w:rPr>
          <w:rFonts w:hint="eastAsia"/>
          <w:sz w:val="21"/>
          <w:szCs w:val="24"/>
        </w:rPr>
        <w:t>、所有者权益变动表项目注释</w:t>
      </w:r>
    </w:p>
    <w:p>
      <w:pPr>
        <w:spacing w:beforeLines="0" w:afterLines="0"/>
        <w:jc w:val="left"/>
        <w:rPr>
          <w:rFonts w:hint="default"/>
          <w:sz w:val="18"/>
          <w:szCs w:val="24"/>
        </w:rPr>
      </w:pPr>
      <w:r>
        <w:rPr>
          <w:rFonts w:hint="eastAsia"/>
          <w:sz w:val="18"/>
          <w:szCs w:val="24"/>
        </w:rPr>
        <w:t>说明对上年期末余额进行调整的“其他”项目名称及调整金额等事项：</w:t>
      </w:r>
    </w:p>
    <w:p>
      <w:pPr>
        <w:pStyle w:val="7"/>
        <w:spacing w:beforeLines="0" w:afterLines="0"/>
        <w:outlineLvl w:val="2"/>
        <w:rPr>
          <w:rFonts w:hint="default"/>
          <w:sz w:val="21"/>
          <w:szCs w:val="24"/>
        </w:rPr>
      </w:pPr>
      <w:r>
        <w:rPr>
          <w:rFonts w:hint="default"/>
          <w:sz w:val="21"/>
          <w:szCs w:val="24"/>
        </w:rPr>
        <w:t>81</w:t>
      </w:r>
      <w:r>
        <w:rPr>
          <w:rFonts w:hint="eastAsia"/>
          <w:sz w:val="21"/>
          <w:szCs w:val="24"/>
        </w:rPr>
        <w:t>、所有权或使用权受到限制的资产</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7"/>
        <w:gridCol w:w="3057"/>
        <w:gridCol w:w="3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期末账面价值</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15,525,084.25</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票据保证金、保函保证金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应收款项融资</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8,300,000.00</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银行承兑汇票质押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05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23,825,084.25</w:t>
            </w:r>
          </w:p>
        </w:tc>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82</w:t>
      </w:r>
      <w:r>
        <w:rPr>
          <w:rFonts w:hint="eastAsia"/>
          <w:sz w:val="21"/>
          <w:szCs w:val="24"/>
        </w:rPr>
        <w:t>、外币货币性项目</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）外币货币性项目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5"/>
        <w:gridCol w:w="2293"/>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期末外币余额</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折算汇率</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期末折算人民币余额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8,037,784.19</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6.3757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51,246,500.66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372,337.44</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7.2197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2,688,164.62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 xml:space="preserve">          </w:t>
            </w:r>
            <w:r>
              <w:rPr>
                <w:rFonts w:hint="eastAsia"/>
                <w:sz w:val="18"/>
                <w:szCs w:val="24"/>
              </w:rPr>
              <w:t>英镑</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100,003.43</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8.6064</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860,669.52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应收账款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8,523,462.00</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6.3757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54,343,036.69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应付账款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24,024.17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6.3757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153,170.90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其中：欧元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74,978.83</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7.2197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541,324.66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其他应付款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206,395.31</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6.3757</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1,315,914.58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长期借款</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其中：美元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欧元</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港币</w:t>
            </w: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49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29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（2）外币交易及境外经营实体主要报表项目的折算汇率</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本公司的外币交易及境外经营实体主要报表项目的折算汇率情况详见附注三、（九）外币业务和外币报表折算。</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）境外经营实体说明，包括对于重要的境外经营实体，应披露其境外主要经营地、记账本位币及选择依据，记账本位币发生变化的还应披露原因。</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83</w:t>
      </w:r>
      <w:r>
        <w:rPr>
          <w:rFonts w:hint="eastAsia"/>
          <w:sz w:val="21"/>
          <w:szCs w:val="24"/>
        </w:rPr>
        <w:t>、套期</w:t>
      </w:r>
    </w:p>
    <w:p>
      <w:pPr>
        <w:spacing w:beforeLines="0" w:afterLines="0"/>
        <w:jc w:val="left"/>
        <w:rPr>
          <w:rFonts w:hint="default"/>
          <w:sz w:val="18"/>
          <w:szCs w:val="24"/>
        </w:rPr>
      </w:pPr>
      <w:r>
        <w:rPr>
          <w:rFonts w:hint="eastAsia"/>
          <w:sz w:val="18"/>
          <w:szCs w:val="24"/>
        </w:rPr>
        <w:t>按照套期类别披露套期项目及相关套期工具、被套期风险的定性和定量信息：</w:t>
      </w:r>
    </w:p>
    <w:p>
      <w:pPr>
        <w:pStyle w:val="7"/>
        <w:spacing w:beforeLines="0" w:afterLines="0"/>
        <w:outlineLvl w:val="2"/>
        <w:rPr>
          <w:rFonts w:hint="default"/>
          <w:sz w:val="21"/>
          <w:szCs w:val="24"/>
        </w:rPr>
      </w:pPr>
      <w:r>
        <w:rPr>
          <w:rFonts w:hint="default"/>
          <w:sz w:val="21"/>
          <w:szCs w:val="24"/>
        </w:rPr>
        <w:t>84</w:t>
      </w:r>
      <w:r>
        <w:rPr>
          <w:rFonts w:hint="eastAsia"/>
          <w:sz w:val="21"/>
          <w:szCs w:val="24"/>
        </w:rPr>
        <w:t>、政府补助</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）政府补助基本情况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种类</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列报项目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计入当期损益的金额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收益性政府补助</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2,224,000.65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其他收益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2,224,000.65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资产性政府补助</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830,000.00</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递延收益</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790,888.52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3,054,000.65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3,014,889.17</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）政府补助退回情况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85</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八、合并范围的变更</w:t>
      </w:r>
    </w:p>
    <w:p>
      <w:pPr>
        <w:pStyle w:val="7"/>
        <w:spacing w:beforeLines="0" w:afterLines="0"/>
        <w:outlineLvl w:val="2"/>
        <w:rPr>
          <w:rFonts w:hint="default"/>
          <w:sz w:val="21"/>
          <w:szCs w:val="24"/>
        </w:rPr>
      </w:pPr>
      <w:r>
        <w:rPr>
          <w:rFonts w:hint="default"/>
          <w:sz w:val="21"/>
          <w:szCs w:val="24"/>
        </w:rPr>
        <w:t>1</w:t>
      </w:r>
      <w:r>
        <w:rPr>
          <w:rFonts w:hint="eastAsia"/>
          <w:sz w:val="21"/>
          <w:szCs w:val="24"/>
        </w:rPr>
        <w:t>、非同一控制下企业合并</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）本期发生的非同一控制下企业合并</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064"/>
        <w:gridCol w:w="1064"/>
        <w:gridCol w:w="1064"/>
        <w:gridCol w:w="1064"/>
        <w:gridCol w:w="1064"/>
        <w:gridCol w:w="1062"/>
        <w:gridCol w:w="1062"/>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被购买方名称</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股权取得时点</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股权取得成本</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股权取得比例</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股权取得方式</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购买日的确定依据</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购买日至期末被购买方的收入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购买日至期末被购买方的净利润</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150" w:afterLines="0"/>
        <w:ind w:firstLine="436"/>
        <w:rPr>
          <w:rFonts w:hint="eastAsia" w:ascii="宋体"/>
          <w:sz w:val="21"/>
          <w:szCs w:val="24"/>
          <w:lang w:val="zh-CN"/>
        </w:rPr>
      </w:pPr>
      <w:r>
        <w:rPr>
          <w:rFonts w:hint="eastAsia" w:ascii="宋体"/>
          <w:sz w:val="21"/>
          <w:szCs w:val="24"/>
          <w:lang w:val="zh-CN"/>
        </w:rPr>
        <w:t>合并范围的变更见附注一、（三）本期合并财务报表范围发生变更的情况。</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）合并成本及商誉</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合并成本</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现金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非现金资产的公允价值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发行或承担的债务的公允价值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发行的权益性证券的公允价值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或有对价的公允价值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购买日之前持有的股权于购买日的公允价值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其他</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合并成本合计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减：取得的可辨认净资产公允价值份额</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商誉</w:t>
            </w:r>
            <w:r>
              <w:rPr>
                <w:rFonts w:hint="default"/>
                <w:sz w:val="18"/>
                <w:szCs w:val="24"/>
              </w:rPr>
              <w:t>/</w:t>
            </w:r>
            <w:r>
              <w:rPr>
                <w:rFonts w:hint="eastAsia"/>
                <w:sz w:val="18"/>
                <w:szCs w:val="24"/>
              </w:rPr>
              <w:t>合并成本小于取得的可辨认净资产公允价值份额的金额</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合并成本公允价值的确定方法、或有对价及其变动的说明：</w:t>
      </w:r>
    </w:p>
    <w:p>
      <w:pPr>
        <w:spacing w:beforeLines="0" w:afterLines="0"/>
        <w:jc w:val="left"/>
        <w:rPr>
          <w:rFonts w:hint="default"/>
          <w:sz w:val="18"/>
          <w:szCs w:val="24"/>
        </w:rPr>
      </w:pPr>
      <w:r>
        <w:rPr>
          <w:rFonts w:hint="eastAsia"/>
          <w:sz w:val="18"/>
          <w:szCs w:val="24"/>
        </w:rPr>
        <w:t>大额商誉形成的主要原因：</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）被购买方于购买日可辨认资产、负债</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638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购买日公允价值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购买日账面价值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应收款项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固定资产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无形资产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借款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应付款项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递延所得税负债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净资产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减：少数股东权益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取得的净资产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可辨认资产、负债公允价值的确定方法：</w:t>
      </w:r>
    </w:p>
    <w:p>
      <w:pPr>
        <w:spacing w:beforeLines="0" w:afterLines="0"/>
        <w:jc w:val="left"/>
        <w:rPr>
          <w:rFonts w:hint="default"/>
          <w:sz w:val="18"/>
          <w:szCs w:val="24"/>
        </w:rPr>
      </w:pPr>
      <w:r>
        <w:rPr>
          <w:rFonts w:hint="eastAsia"/>
          <w:sz w:val="18"/>
          <w:szCs w:val="24"/>
        </w:rPr>
        <w:t>企业合并中承担的被购买方的或有负债：</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）购买日之前持有的股权按照公允价值重新计量产生的利得或损失</w:t>
      </w:r>
    </w:p>
    <w:p>
      <w:pPr>
        <w:spacing w:beforeLines="0" w:afterLines="0"/>
        <w:jc w:val="left"/>
        <w:rPr>
          <w:rFonts w:hint="default"/>
          <w:sz w:val="18"/>
          <w:szCs w:val="24"/>
        </w:rPr>
      </w:pPr>
      <w:r>
        <w:rPr>
          <w:rFonts w:hint="eastAsia"/>
          <w:sz w:val="18"/>
          <w:szCs w:val="24"/>
        </w:rPr>
        <w:t>是否存在通过多次交易分步实现企业合并且在报告期内取得控制权的交易</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）购买日或合并当期期末无法合理确定合并对价或被购买方可辨认资产、负债公允价值的相关说明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）其他说明</w:t>
      </w:r>
    </w:p>
    <w:p>
      <w:pPr>
        <w:pStyle w:val="7"/>
        <w:spacing w:beforeLines="0" w:afterLines="0"/>
        <w:outlineLvl w:val="2"/>
        <w:rPr>
          <w:rFonts w:hint="default"/>
          <w:sz w:val="21"/>
          <w:szCs w:val="24"/>
        </w:rPr>
      </w:pPr>
      <w:r>
        <w:rPr>
          <w:rFonts w:hint="default"/>
          <w:sz w:val="21"/>
          <w:szCs w:val="24"/>
        </w:rPr>
        <w:t>2</w:t>
      </w:r>
      <w:r>
        <w:rPr>
          <w:rFonts w:hint="eastAsia"/>
          <w:sz w:val="21"/>
          <w:szCs w:val="24"/>
        </w:rPr>
        <w:t>、同一控制下企业合并</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）本期发生的同一控制下企业合并</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1"/>
        <w:gridCol w:w="1061"/>
        <w:gridCol w:w="1063"/>
        <w:gridCol w:w="1064"/>
        <w:gridCol w:w="1064"/>
        <w:gridCol w:w="1064"/>
        <w:gridCol w:w="1064"/>
        <w:gridCol w:w="1064"/>
        <w:gridCol w:w="1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被合并方名称</w:t>
            </w:r>
          </w:p>
        </w:tc>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企业合并中取得的权益比例</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构成同一控制下企业合并的依据</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合并日的确定依据</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合并当期期初至合并日被合并方的收入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合并当期期初至合并日被合并方的净利润</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比较期间被合并方的收入</w:t>
            </w:r>
          </w:p>
        </w:tc>
        <w:tc>
          <w:tcPr>
            <w:tcW w:w="106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比较期间被合并方的净利润</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）合并成本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合并成本</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现金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非现金资产的账面价值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发行或承担的债务的账面价值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发行的权益性证券的面值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或有对价</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或有对价及其变动的说明：</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）合并日被合并方资产、负债的账面价值</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638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合并日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上期期末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货币资金</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应收款项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固定资产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无形资产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借款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应付款项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净资产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减：少数股东权益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取得的净资产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企业合并中承担的被合并方的或有负债：</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、反向购买</w:t>
      </w:r>
    </w:p>
    <w:p>
      <w:pPr>
        <w:spacing w:beforeLines="0" w:afterLines="0"/>
        <w:jc w:val="left"/>
        <w:rPr>
          <w:rFonts w:hint="default"/>
          <w:sz w:val="18"/>
          <w:szCs w:val="24"/>
        </w:rPr>
      </w:pPr>
      <w:r>
        <w:rPr>
          <w:rFonts w:hint="eastAsia"/>
          <w:sz w:val="18"/>
          <w:szCs w:val="24"/>
        </w:rPr>
        <w:t>交易基本信息、交易构成反向购买的依据、上市公司保留的资产、负债是否构成业务及其依据、合并成本的确定、按照权益性交易处理时调整权益的金额及其计算：</w:t>
      </w:r>
    </w:p>
    <w:p>
      <w:pPr>
        <w:pStyle w:val="7"/>
        <w:spacing w:beforeLines="0" w:afterLines="0"/>
        <w:outlineLvl w:val="2"/>
        <w:rPr>
          <w:rFonts w:hint="default"/>
          <w:sz w:val="21"/>
          <w:szCs w:val="24"/>
        </w:rPr>
      </w:pPr>
      <w:r>
        <w:rPr>
          <w:rFonts w:hint="default"/>
          <w:sz w:val="21"/>
          <w:szCs w:val="24"/>
        </w:rPr>
        <w:t>4</w:t>
      </w:r>
      <w:r>
        <w:rPr>
          <w:rFonts w:hint="eastAsia"/>
          <w:sz w:val="21"/>
          <w:szCs w:val="24"/>
        </w:rPr>
        <w:t>、处置子公司</w:t>
      </w:r>
    </w:p>
    <w:p>
      <w:pPr>
        <w:spacing w:beforeLines="0" w:afterLines="0"/>
        <w:jc w:val="left"/>
        <w:rPr>
          <w:rFonts w:hint="default"/>
          <w:sz w:val="18"/>
          <w:szCs w:val="24"/>
        </w:rPr>
      </w:pPr>
      <w:r>
        <w:rPr>
          <w:rFonts w:hint="eastAsia"/>
          <w:sz w:val="18"/>
          <w:szCs w:val="24"/>
        </w:rPr>
        <w:t>是否存在单次处置对子公司投资即丧失控制权的情形</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spacing w:beforeLines="0" w:afterLines="0"/>
        <w:jc w:val="left"/>
        <w:rPr>
          <w:rFonts w:hint="default"/>
          <w:sz w:val="18"/>
          <w:szCs w:val="24"/>
        </w:rPr>
      </w:pPr>
      <w:r>
        <w:rPr>
          <w:rFonts w:hint="eastAsia"/>
          <w:sz w:val="18"/>
          <w:szCs w:val="24"/>
        </w:rPr>
        <w:t>是否存在通过多次交易分步处置对子公司投资且在本期丧失控制权的情形</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是</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否</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5</w:t>
      </w:r>
      <w:r>
        <w:rPr>
          <w:rFonts w:hint="eastAsia"/>
          <w:sz w:val="21"/>
          <w:szCs w:val="24"/>
        </w:rPr>
        <w:t>、其他原因的合并范围变动</w:t>
      </w:r>
    </w:p>
    <w:p>
      <w:pPr>
        <w:spacing w:beforeLines="0" w:afterLines="0"/>
        <w:jc w:val="left"/>
        <w:rPr>
          <w:rFonts w:hint="default"/>
          <w:sz w:val="18"/>
          <w:szCs w:val="24"/>
        </w:rPr>
      </w:pPr>
      <w:r>
        <w:rPr>
          <w:rFonts w:hint="eastAsia"/>
          <w:sz w:val="18"/>
          <w:szCs w:val="24"/>
        </w:rPr>
        <w:t>说明其他原因导致的合并范围变动（如，新设子公司、清算子公司等）及其相关情况：</w:t>
      </w:r>
    </w:p>
    <w:p>
      <w:pPr>
        <w:pStyle w:val="7"/>
        <w:spacing w:beforeLines="0" w:afterLines="0"/>
        <w:outlineLvl w:val="2"/>
        <w:rPr>
          <w:rFonts w:hint="default"/>
          <w:sz w:val="21"/>
          <w:szCs w:val="24"/>
        </w:rPr>
      </w:pPr>
      <w:r>
        <w:rPr>
          <w:rFonts w:hint="default"/>
          <w:sz w:val="21"/>
          <w:szCs w:val="24"/>
        </w:rPr>
        <w:t>6</w:t>
      </w:r>
      <w:r>
        <w:rPr>
          <w:rFonts w:hint="eastAsia"/>
          <w:sz w:val="21"/>
          <w:szCs w:val="24"/>
        </w:rPr>
        <w:t>、其他</w:t>
      </w:r>
    </w:p>
    <w:p>
      <w:pPr>
        <w:pStyle w:val="6"/>
        <w:spacing w:beforeLines="0" w:afterLines="0"/>
        <w:outlineLvl w:val="1"/>
        <w:rPr>
          <w:rFonts w:hint="default"/>
          <w:sz w:val="24"/>
          <w:szCs w:val="24"/>
        </w:rPr>
      </w:pPr>
      <w:r>
        <w:rPr>
          <w:rFonts w:hint="eastAsia"/>
          <w:sz w:val="24"/>
          <w:szCs w:val="24"/>
        </w:rPr>
        <w:t>九、在其他主体中的权益</w:t>
      </w:r>
    </w:p>
    <w:p>
      <w:pPr>
        <w:pStyle w:val="7"/>
        <w:spacing w:beforeLines="0" w:afterLines="0"/>
        <w:outlineLvl w:val="2"/>
        <w:rPr>
          <w:rFonts w:hint="default"/>
          <w:sz w:val="21"/>
          <w:szCs w:val="24"/>
        </w:rPr>
      </w:pPr>
      <w:r>
        <w:rPr>
          <w:rFonts w:hint="default"/>
          <w:sz w:val="21"/>
          <w:szCs w:val="24"/>
        </w:rPr>
        <w:t>1</w:t>
      </w:r>
      <w:r>
        <w:rPr>
          <w:rFonts w:hint="eastAsia"/>
          <w:sz w:val="21"/>
          <w:szCs w:val="24"/>
        </w:rPr>
        <w:t>、在子公司中的权益</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）企业集团的构成</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1"/>
        <w:gridCol w:w="1367"/>
        <w:gridCol w:w="1367"/>
        <w:gridCol w:w="1367"/>
        <w:gridCol w:w="1367"/>
        <w:gridCol w:w="1366"/>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子公司名称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主要经营地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业务性质</w:t>
            </w:r>
          </w:p>
        </w:tc>
        <w:tc>
          <w:tcPr>
            <w:tcW w:w="273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持股比例</w:t>
            </w:r>
          </w:p>
        </w:tc>
        <w:tc>
          <w:tcPr>
            <w:tcW w:w="13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取得方式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直接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间接</w:t>
            </w:r>
          </w:p>
        </w:tc>
        <w:tc>
          <w:tcPr>
            <w:tcW w:w="13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莱州市沙河镇海郑村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莱州市沙河镇海郑村</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同一控制下企业合并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青岛市高新技术产业开发区春阳路以北、华东路以西、科海路以南、华贯路以东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青岛市高新技术产业开发区春阳路以北、华东路以西、科海路以南、华贯路以东</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中国（山东）自由贸易试验区青岛片区前湾保税港区北京路</w:t>
            </w:r>
            <w:r>
              <w:rPr>
                <w:rFonts w:hint="default"/>
                <w:sz w:val="18"/>
                <w:szCs w:val="24"/>
              </w:rPr>
              <w:t>45</w:t>
            </w:r>
            <w:r>
              <w:rPr>
                <w:rFonts w:hint="eastAsia"/>
                <w:sz w:val="18"/>
                <w:szCs w:val="24"/>
              </w:rPr>
              <w:t>号东办公楼一楼</w:t>
            </w:r>
            <w:r>
              <w:rPr>
                <w:rFonts w:hint="default"/>
                <w:sz w:val="18"/>
                <w:szCs w:val="24"/>
              </w:rPr>
              <w:t>-2244</w:t>
            </w:r>
            <w:r>
              <w:rPr>
                <w:rFonts w:hint="eastAsia"/>
                <w:sz w:val="18"/>
                <w:szCs w:val="24"/>
              </w:rPr>
              <w:t>（商务秘书公司托管地址）（</w:t>
            </w:r>
            <w:r>
              <w:rPr>
                <w:rFonts w:hint="default"/>
                <w:sz w:val="18"/>
                <w:szCs w:val="24"/>
              </w:rPr>
              <w:t>A</w:t>
            </w:r>
            <w:r>
              <w:rPr>
                <w:rFonts w:hint="eastAsia"/>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中国（山东）自由贸易试验区青岛片区前湾保税港区北京路</w:t>
            </w:r>
            <w:r>
              <w:rPr>
                <w:rFonts w:hint="default"/>
                <w:sz w:val="18"/>
                <w:szCs w:val="24"/>
              </w:rPr>
              <w:t>45</w:t>
            </w:r>
            <w:r>
              <w:rPr>
                <w:rFonts w:hint="eastAsia"/>
                <w:sz w:val="18"/>
                <w:szCs w:val="24"/>
              </w:rPr>
              <w:t>号东办公楼一楼</w:t>
            </w:r>
            <w:r>
              <w:rPr>
                <w:rFonts w:hint="default"/>
                <w:sz w:val="18"/>
                <w:szCs w:val="24"/>
              </w:rPr>
              <w:t>-2244</w:t>
            </w:r>
            <w:r>
              <w:rPr>
                <w:rFonts w:hint="eastAsia"/>
                <w:sz w:val="18"/>
                <w:szCs w:val="24"/>
              </w:rPr>
              <w:t>（商务秘书公司托管地址）（</w:t>
            </w:r>
            <w:r>
              <w:rPr>
                <w:rFonts w:hint="default"/>
                <w:sz w:val="18"/>
                <w:szCs w:val="24"/>
              </w:rPr>
              <w:t>A</w:t>
            </w:r>
            <w:r>
              <w:rPr>
                <w:rFonts w:hint="eastAsia"/>
                <w:sz w:val="18"/>
                <w:szCs w:val="24"/>
              </w:rPr>
              <w:t>）</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WefloValveCompanyLimited</w:t>
            </w:r>
            <w:r>
              <w:rPr>
                <w:rFonts w:hint="eastAsia"/>
                <w:sz w:val="18"/>
                <w:szCs w:val="24"/>
              </w:rPr>
              <w:t>（英国公司）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英国伦敦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英国伦敦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同一控制下企业合并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青岛即聚机电有限责任公司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山东省青岛市即墨区蓝村镇兴和路</w:t>
            </w:r>
            <w:r>
              <w:rPr>
                <w:rFonts w:hint="default"/>
                <w:sz w:val="18"/>
                <w:szCs w:val="24"/>
              </w:rPr>
              <w:t>45</w:t>
            </w:r>
            <w:r>
              <w:rPr>
                <w:rFonts w:hint="eastAsia"/>
                <w:sz w:val="18"/>
                <w:szCs w:val="24"/>
              </w:rPr>
              <w:t>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山东省青岛市即墨区蓝村镇兴和路</w:t>
            </w:r>
            <w:r>
              <w:rPr>
                <w:rFonts w:hint="default"/>
                <w:sz w:val="18"/>
                <w:szCs w:val="24"/>
              </w:rPr>
              <w:t>45</w:t>
            </w:r>
            <w:r>
              <w:rPr>
                <w:rFonts w:hint="eastAsia"/>
                <w:sz w:val="18"/>
                <w:szCs w:val="24"/>
              </w:rPr>
              <w:t>号</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青岛卓信检测技术有限责任公司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山东省青岛市高新区华贯路以东、华东路以西、科海路以南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山东省青岛市高新区华贯路以东、华东路以西、科海路以南</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工业</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偉隆（香港）實業有限公司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香港九龙尖沙咀东部科学馆道</w:t>
            </w:r>
            <w:r>
              <w:rPr>
                <w:rFonts w:hint="default"/>
                <w:sz w:val="18"/>
                <w:szCs w:val="24"/>
              </w:rPr>
              <w:t>14</w:t>
            </w:r>
            <w:r>
              <w:rPr>
                <w:rFonts w:hint="eastAsia"/>
                <w:sz w:val="18"/>
                <w:szCs w:val="24"/>
              </w:rPr>
              <w:t>号新文华中心</w:t>
            </w:r>
            <w:r>
              <w:rPr>
                <w:rFonts w:hint="default"/>
                <w:sz w:val="18"/>
                <w:szCs w:val="24"/>
              </w:rPr>
              <w:t>A</w:t>
            </w:r>
            <w:r>
              <w:rPr>
                <w:rFonts w:hint="eastAsia"/>
                <w:sz w:val="18"/>
                <w:szCs w:val="24"/>
              </w:rPr>
              <w:t>座</w:t>
            </w:r>
            <w:r>
              <w:rPr>
                <w:rFonts w:hint="default"/>
                <w:sz w:val="18"/>
                <w:szCs w:val="24"/>
              </w:rPr>
              <w:t>10</w:t>
            </w:r>
            <w:r>
              <w:rPr>
                <w:rFonts w:hint="eastAsia"/>
                <w:sz w:val="18"/>
                <w:szCs w:val="24"/>
              </w:rPr>
              <w:t>楼</w:t>
            </w:r>
            <w:r>
              <w:rPr>
                <w:rFonts w:hint="default"/>
                <w:sz w:val="18"/>
                <w:szCs w:val="24"/>
              </w:rPr>
              <w:t>1015</w:t>
            </w:r>
            <w:r>
              <w:rPr>
                <w:rFonts w:hint="eastAsia"/>
                <w:sz w:val="18"/>
                <w:szCs w:val="24"/>
              </w:rPr>
              <w:t>室</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香港九龙尖沙咀东部科学馆道</w:t>
            </w:r>
            <w:r>
              <w:rPr>
                <w:rFonts w:hint="default"/>
                <w:sz w:val="18"/>
                <w:szCs w:val="24"/>
              </w:rPr>
              <w:t>14</w:t>
            </w:r>
            <w:r>
              <w:rPr>
                <w:rFonts w:hint="eastAsia"/>
                <w:sz w:val="18"/>
                <w:szCs w:val="24"/>
              </w:rPr>
              <w:t>号新文华中心</w:t>
            </w:r>
            <w:r>
              <w:rPr>
                <w:rFonts w:hint="default"/>
                <w:sz w:val="18"/>
                <w:szCs w:val="24"/>
              </w:rPr>
              <w:t>A</w:t>
            </w:r>
            <w:r>
              <w:rPr>
                <w:rFonts w:hint="eastAsia"/>
                <w:sz w:val="18"/>
                <w:szCs w:val="24"/>
              </w:rPr>
              <w:t>座</w:t>
            </w:r>
            <w:r>
              <w:rPr>
                <w:rFonts w:hint="default"/>
                <w:sz w:val="18"/>
                <w:szCs w:val="24"/>
              </w:rPr>
              <w:t>10</w:t>
            </w:r>
            <w:r>
              <w:rPr>
                <w:rFonts w:hint="eastAsia"/>
                <w:sz w:val="18"/>
                <w:szCs w:val="24"/>
              </w:rPr>
              <w:t>楼</w:t>
            </w:r>
            <w:r>
              <w:rPr>
                <w:rFonts w:hint="default"/>
                <w:sz w:val="18"/>
                <w:szCs w:val="24"/>
              </w:rPr>
              <w:t>1015</w:t>
            </w:r>
            <w:r>
              <w:rPr>
                <w:rFonts w:hint="eastAsia"/>
                <w:sz w:val="18"/>
                <w:szCs w:val="24"/>
              </w:rPr>
              <w:t>室</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WEFLOVALVELLC</w:t>
            </w:r>
            <w:r>
              <w:rPr>
                <w:rFonts w:hint="eastAsia"/>
                <w:sz w:val="18"/>
                <w:szCs w:val="24"/>
              </w:rPr>
              <w:t>（美国公司）</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16192coastalHighway,Lewes</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16192coastalHighway,Lewes</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商务服务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设立</w:t>
            </w:r>
          </w:p>
        </w:tc>
      </w:tr>
    </w:tbl>
    <w:p>
      <w:pPr>
        <w:spacing w:beforeLines="0" w:afterLines="0"/>
        <w:jc w:val="left"/>
        <w:rPr>
          <w:rFonts w:hint="default"/>
          <w:sz w:val="18"/>
          <w:szCs w:val="24"/>
        </w:rPr>
      </w:pPr>
      <w:r>
        <w:rPr>
          <w:rFonts w:hint="eastAsia"/>
          <w:sz w:val="18"/>
          <w:szCs w:val="24"/>
        </w:rPr>
        <w:t>在子公司的持股比例不同于表决权比例的说明：</w:t>
      </w:r>
    </w:p>
    <w:p>
      <w:pPr>
        <w:spacing w:beforeLines="0" w:afterLines="0"/>
        <w:jc w:val="left"/>
        <w:rPr>
          <w:rFonts w:hint="default"/>
          <w:sz w:val="18"/>
          <w:szCs w:val="24"/>
        </w:rPr>
      </w:pPr>
      <w:r>
        <w:rPr>
          <w:rFonts w:hint="eastAsia"/>
          <w:sz w:val="18"/>
          <w:szCs w:val="24"/>
        </w:rPr>
        <w:t>持有半数或以下表决权但仍控制被投资单位、以及持有半数以上表决权但不控制被投资单位的依据：</w:t>
      </w:r>
    </w:p>
    <w:p>
      <w:pPr>
        <w:spacing w:beforeLines="0" w:afterLines="0"/>
        <w:jc w:val="left"/>
        <w:rPr>
          <w:rFonts w:hint="default"/>
          <w:sz w:val="18"/>
          <w:szCs w:val="24"/>
        </w:rPr>
      </w:pPr>
      <w:r>
        <w:rPr>
          <w:rFonts w:hint="eastAsia"/>
          <w:sz w:val="18"/>
          <w:szCs w:val="24"/>
        </w:rPr>
        <w:t>对于纳入合并范围的重要的结构化主体，控制的依据：</w:t>
      </w:r>
    </w:p>
    <w:p>
      <w:pPr>
        <w:spacing w:beforeLines="0" w:afterLines="0"/>
        <w:jc w:val="left"/>
        <w:rPr>
          <w:rFonts w:hint="default"/>
          <w:sz w:val="18"/>
          <w:szCs w:val="24"/>
        </w:rPr>
      </w:pPr>
      <w:r>
        <w:rPr>
          <w:rFonts w:hint="eastAsia"/>
          <w:sz w:val="18"/>
          <w:szCs w:val="24"/>
        </w:rPr>
        <w:t>确定公司是代理人还是委托人的依据：</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）重要的非全资子公司</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914"/>
        <w:gridCol w:w="1914"/>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子公司名称</w:t>
            </w:r>
          </w:p>
        </w:tc>
        <w:tc>
          <w:tcPr>
            <w:tcW w:w="19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少数股东持股比例</w:t>
            </w:r>
          </w:p>
        </w:tc>
        <w:tc>
          <w:tcPr>
            <w:tcW w:w="191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本期归属于少数股东的损益</w:t>
            </w:r>
          </w:p>
        </w:tc>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本期向少数股东宣告分派的股利</w:t>
            </w:r>
          </w:p>
        </w:tc>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期末少数股东权益余额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91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c>
          <w:tcPr>
            <w:tcW w:w="19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c>
          <w:tcPr>
            <w:tcW w:w="191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c>
          <w:tcPr>
            <w:tcW w:w="19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c>
          <w:tcPr>
            <w:tcW w:w="19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default"/>
                <w:sz w:val="18"/>
                <w:szCs w:val="24"/>
              </w:rPr>
            </w:pPr>
          </w:p>
        </w:tc>
      </w:tr>
    </w:tbl>
    <w:p>
      <w:pPr>
        <w:spacing w:beforeLines="0" w:afterLines="0"/>
        <w:jc w:val="left"/>
        <w:rPr>
          <w:rFonts w:hint="default"/>
          <w:sz w:val="18"/>
          <w:szCs w:val="24"/>
        </w:rPr>
      </w:pPr>
      <w:r>
        <w:rPr>
          <w:rFonts w:hint="eastAsia"/>
          <w:sz w:val="18"/>
          <w:szCs w:val="24"/>
        </w:rPr>
        <w:t>子公司少数股东的持股比例不同于表决权比例的说明：</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）重要非全资子公司的主要财务信息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736"/>
        <w:gridCol w:w="736"/>
        <w:gridCol w:w="736"/>
        <w:gridCol w:w="736"/>
        <w:gridCol w:w="735"/>
        <w:gridCol w:w="735"/>
        <w:gridCol w:w="735"/>
        <w:gridCol w:w="735"/>
        <w:gridCol w:w="735"/>
        <w:gridCol w:w="737"/>
        <w:gridCol w:w="736"/>
        <w:gridCol w:w="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子公司名称</w:t>
            </w:r>
          </w:p>
        </w:tc>
        <w:tc>
          <w:tcPr>
            <w:tcW w:w="4414"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414" w:type="dxa"/>
            <w:gridSpan w:val="6"/>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流动资产</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非流动资产</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资产合计</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流动负债</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非流动负债</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负债合计</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流动资产</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非流动资产</w:t>
            </w:r>
          </w:p>
        </w:tc>
        <w:tc>
          <w:tcPr>
            <w:tcW w:w="7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资产合计</w:t>
            </w:r>
          </w:p>
        </w:tc>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流动负债</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非流动负债</w:t>
            </w:r>
          </w:p>
        </w:tc>
        <w:tc>
          <w:tcPr>
            <w:tcW w:w="73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负债合计</w:t>
            </w:r>
          </w:p>
        </w:tc>
      </w:tr>
    </w:tbl>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1"/>
        <w:gridCol w:w="1061"/>
        <w:gridCol w:w="1062"/>
        <w:gridCol w:w="1065"/>
        <w:gridCol w:w="1065"/>
        <w:gridCol w:w="1063"/>
        <w:gridCol w:w="1063"/>
        <w:gridCol w:w="1063"/>
        <w:gridCol w:w="1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子公司名称</w:t>
            </w:r>
          </w:p>
        </w:tc>
        <w:tc>
          <w:tcPr>
            <w:tcW w:w="4253"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4255"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6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6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营业收入</w:t>
            </w:r>
          </w:p>
        </w:tc>
        <w:tc>
          <w:tcPr>
            <w:tcW w:w="10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净利润</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综合收益总额</w:t>
            </w:r>
          </w:p>
        </w:tc>
        <w:tc>
          <w:tcPr>
            <w:tcW w:w="106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经营活动现金流量</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营业收入</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净利润</w:t>
            </w:r>
          </w:p>
        </w:tc>
        <w:tc>
          <w:tcPr>
            <w:tcW w:w="10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综合收益总额</w:t>
            </w:r>
          </w:p>
        </w:tc>
        <w:tc>
          <w:tcPr>
            <w:tcW w:w="10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经营活动现金流量</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）使用企业集团资产和清偿企业集团债务的重大限制</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）向纳入合并财务报表范围的结构化主体提供的财务支持或其他支持</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2</w:t>
      </w:r>
      <w:r>
        <w:rPr>
          <w:rFonts w:hint="eastAsia"/>
          <w:sz w:val="21"/>
          <w:szCs w:val="24"/>
        </w:rPr>
        <w:t>、在子公司的所有者权益份额发生变化且仍控制子公司的交易</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）在子公司所有者权益份额发生变化的情况说明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）交易对于少数股东权益及归属于母公司所有者权益的影响</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购买成本</w:t>
            </w:r>
            <w:r>
              <w:rPr>
                <w:rFonts w:hint="default"/>
                <w:sz w:val="18"/>
                <w:szCs w:val="24"/>
              </w:rPr>
              <w:t>/</w:t>
            </w:r>
            <w:r>
              <w:rPr>
                <w:rFonts w:hint="eastAsia"/>
                <w:sz w:val="18"/>
                <w:szCs w:val="24"/>
              </w:rPr>
              <w:t>处置对价</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现金</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非现金资产的公允价值</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购买成本</w:t>
            </w:r>
            <w:r>
              <w:rPr>
                <w:rFonts w:hint="default"/>
                <w:sz w:val="18"/>
                <w:szCs w:val="24"/>
              </w:rPr>
              <w:t>/</w:t>
            </w:r>
            <w:r>
              <w:rPr>
                <w:rFonts w:hint="eastAsia"/>
                <w:sz w:val="18"/>
                <w:szCs w:val="24"/>
              </w:rPr>
              <w:t>处置对价合计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减：按取得</w:t>
            </w:r>
            <w:r>
              <w:rPr>
                <w:rFonts w:hint="default"/>
                <w:sz w:val="18"/>
                <w:szCs w:val="24"/>
              </w:rPr>
              <w:t>/</w:t>
            </w:r>
            <w:r>
              <w:rPr>
                <w:rFonts w:hint="eastAsia"/>
                <w:sz w:val="18"/>
                <w:szCs w:val="24"/>
              </w:rPr>
              <w:t>处置的股权比例计算的子公司净资产份额</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差额</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其中：调整资本公积</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调整盈余公积</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调整未分配利润</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、在合营安排或联营企业中的权益</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）重要的合营企业或联营企业</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1"/>
        <w:gridCol w:w="1367"/>
        <w:gridCol w:w="1367"/>
        <w:gridCol w:w="1367"/>
        <w:gridCol w:w="1367"/>
        <w:gridCol w:w="1366"/>
        <w:gridCol w:w="1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7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合营企业或联营企业名称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主要经营地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注册地</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业务性质</w:t>
            </w:r>
          </w:p>
        </w:tc>
        <w:tc>
          <w:tcPr>
            <w:tcW w:w="273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持股比例</w:t>
            </w:r>
          </w:p>
        </w:tc>
        <w:tc>
          <w:tcPr>
            <w:tcW w:w="13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对合营企业或联营企业投资的会计处理方法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7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直接</w:t>
            </w:r>
          </w:p>
        </w:tc>
        <w:tc>
          <w:tcPr>
            <w:tcW w:w="13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间接</w:t>
            </w:r>
          </w:p>
        </w:tc>
        <w:tc>
          <w:tcPr>
            <w:tcW w:w="13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bl>
    <w:p>
      <w:pPr>
        <w:spacing w:beforeLines="0" w:afterLines="0"/>
        <w:jc w:val="left"/>
        <w:rPr>
          <w:rFonts w:hint="default"/>
          <w:sz w:val="18"/>
          <w:szCs w:val="24"/>
        </w:rPr>
      </w:pPr>
      <w:r>
        <w:rPr>
          <w:rFonts w:hint="eastAsia"/>
          <w:sz w:val="18"/>
          <w:szCs w:val="24"/>
        </w:rPr>
        <w:t>在合营企业或联营企业的持股比例不同于表决权比例的说明：</w:t>
      </w:r>
    </w:p>
    <w:p>
      <w:pPr>
        <w:spacing w:beforeLines="0" w:afterLines="0"/>
        <w:jc w:val="left"/>
        <w:rPr>
          <w:rFonts w:hint="default"/>
          <w:sz w:val="18"/>
          <w:szCs w:val="24"/>
        </w:rPr>
      </w:pPr>
      <w:r>
        <w:rPr>
          <w:rFonts w:hint="eastAsia"/>
          <w:sz w:val="18"/>
          <w:szCs w:val="24"/>
        </w:rPr>
        <w:t>持有</w:t>
      </w:r>
      <w:r>
        <w:rPr>
          <w:rFonts w:hint="default"/>
          <w:sz w:val="18"/>
          <w:szCs w:val="24"/>
        </w:rPr>
        <w:t>20%</w:t>
      </w:r>
      <w:r>
        <w:rPr>
          <w:rFonts w:hint="eastAsia"/>
          <w:sz w:val="18"/>
          <w:szCs w:val="24"/>
        </w:rPr>
        <w:t>以下表决权但具有重大影响，或者持有</w:t>
      </w:r>
      <w:r>
        <w:rPr>
          <w:rFonts w:hint="default"/>
          <w:sz w:val="18"/>
          <w:szCs w:val="24"/>
        </w:rPr>
        <w:t>20%</w:t>
      </w:r>
      <w:r>
        <w:rPr>
          <w:rFonts w:hint="eastAsia"/>
          <w:sz w:val="18"/>
          <w:szCs w:val="24"/>
        </w:rPr>
        <w:t>或以上表决权但不具有重大影响的依据：</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）重要合营企业的主要财务信息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其中：现金和现金等价物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少数股东权益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归属于母公司股东权益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按持股比例计算的净资产份额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调整事项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商誉</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内部交易未实现利润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对合营企业权益投资的账面价值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存在公开报价的合营企业权益投资的公允价值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财务费用</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所得税费用</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净利润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终止经营的净利润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其他综合收益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综合收益总额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本年度收到的来自合营企业的股利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）重要联营企业的主要财务信息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资产合计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流动负债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非流动负债</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负债合计</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少数股东权益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归属于母公司股东权益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按持股比例计算的净资产份额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调整事项</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商誉</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内部交易未实现利润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w:t>
            </w:r>
            <w:r>
              <w:rPr>
                <w:rFonts w:hint="eastAsia"/>
                <w:sz w:val="18"/>
                <w:szCs w:val="24"/>
              </w:rPr>
              <w:t>其他</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对联营企业权益投资的账面价值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存在公开报价的联营企业权益投资的公允价值</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营业收入</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净利润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终止经营的净利润</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其他综合收益</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综合收益总额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本年度收到的来自联营企业的股利</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）不重要的合营企业和联营企业的汇总财务信息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本期发生额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合营企业：</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下列各项按持股比例计算的合计数</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联营企业：</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下列各项按持股比例计算的合计数</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）合营企业或联营企业向本公司转移资金的能力存在重大限制的说明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）合营企业或联营企业发生的超额亏损</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0"/>
        <w:gridCol w:w="2392"/>
        <w:gridCol w:w="2392"/>
        <w:gridCol w:w="2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合营企业或联营企业名称</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累积未确认前期累计的损失</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本期未确认的损失（或本期分享的净利润）</w:t>
            </w:r>
          </w:p>
        </w:tc>
        <w:tc>
          <w:tcPr>
            <w:tcW w:w="23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本期末累积未确认的损失</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7</w:t>
      </w:r>
      <w:r>
        <w:rPr>
          <w:rFonts w:hint="eastAsia"/>
          <w:sz w:val="21"/>
          <w:szCs w:val="24"/>
        </w:rPr>
        <w:t>）与合营企业投资相关的未确认承诺</w:t>
      </w:r>
    </w:p>
    <w:p>
      <w:pPr>
        <w:pStyle w:val="7"/>
        <w:spacing w:beforeLines="0" w:afterLines="0"/>
        <w:outlineLvl w:val="3"/>
        <w:rPr>
          <w:rFonts w:hint="default"/>
          <w:sz w:val="21"/>
          <w:szCs w:val="24"/>
        </w:rPr>
      </w:pPr>
      <w:r>
        <w:rPr>
          <w:rFonts w:hint="eastAsia"/>
          <w:sz w:val="21"/>
          <w:szCs w:val="24"/>
        </w:rPr>
        <w:t>（</w:t>
      </w:r>
      <w:r>
        <w:rPr>
          <w:rFonts w:hint="default"/>
          <w:sz w:val="21"/>
          <w:szCs w:val="24"/>
        </w:rPr>
        <w:t>8</w:t>
      </w:r>
      <w:r>
        <w:rPr>
          <w:rFonts w:hint="eastAsia"/>
          <w:sz w:val="21"/>
          <w:szCs w:val="24"/>
        </w:rPr>
        <w:t>）与合营企业或联营企业投资相关的或有负债</w:t>
      </w:r>
    </w:p>
    <w:p>
      <w:pPr>
        <w:pStyle w:val="7"/>
        <w:spacing w:beforeLines="0" w:afterLines="0"/>
        <w:outlineLvl w:val="2"/>
        <w:rPr>
          <w:rFonts w:hint="default"/>
          <w:sz w:val="21"/>
          <w:szCs w:val="24"/>
        </w:rPr>
      </w:pPr>
      <w:r>
        <w:rPr>
          <w:rFonts w:hint="default"/>
          <w:sz w:val="21"/>
          <w:szCs w:val="24"/>
        </w:rPr>
        <w:t>4</w:t>
      </w:r>
      <w:r>
        <w:rPr>
          <w:rFonts w:hint="eastAsia"/>
          <w:sz w:val="21"/>
          <w:szCs w:val="24"/>
        </w:rPr>
        <w:t>、重要的共同经营</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7"/>
        <w:gridCol w:w="1594"/>
        <w:gridCol w:w="1594"/>
        <w:gridCol w:w="1594"/>
        <w:gridCol w:w="1594"/>
        <w:gridCol w:w="1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共同经营名称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主要经营地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注册地</w:t>
            </w:r>
          </w:p>
        </w:tc>
        <w:tc>
          <w:tcPr>
            <w:tcW w:w="15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业务性质</w:t>
            </w:r>
          </w:p>
        </w:tc>
        <w:tc>
          <w:tcPr>
            <w:tcW w:w="3187"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持股比例</w:t>
            </w:r>
            <w:r>
              <w:rPr>
                <w:rFonts w:hint="default"/>
                <w:sz w:val="18"/>
                <w:szCs w:val="24"/>
              </w:rPr>
              <w:t>/</w:t>
            </w:r>
            <w:r>
              <w:rPr>
                <w:rFonts w:hint="eastAsia"/>
                <w:sz w:val="18"/>
                <w:szCs w:val="24"/>
              </w:rPr>
              <w:t>享有的份额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直接</w:t>
            </w:r>
          </w:p>
        </w:tc>
        <w:tc>
          <w:tcPr>
            <w:tcW w:w="15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间接</w:t>
            </w:r>
          </w:p>
        </w:tc>
      </w:tr>
    </w:tbl>
    <w:p>
      <w:pPr>
        <w:spacing w:beforeLines="0" w:afterLines="0"/>
        <w:jc w:val="left"/>
        <w:rPr>
          <w:rFonts w:hint="default"/>
          <w:sz w:val="18"/>
          <w:szCs w:val="24"/>
        </w:rPr>
      </w:pPr>
      <w:r>
        <w:rPr>
          <w:rFonts w:hint="eastAsia"/>
          <w:sz w:val="18"/>
          <w:szCs w:val="24"/>
        </w:rPr>
        <w:t>在共同经营中的持股比例或享有的份额不同于表决权比例的说明：</w:t>
      </w:r>
    </w:p>
    <w:p>
      <w:pPr>
        <w:spacing w:beforeLines="0" w:afterLines="0"/>
        <w:jc w:val="left"/>
        <w:rPr>
          <w:rFonts w:hint="default"/>
          <w:sz w:val="18"/>
          <w:szCs w:val="24"/>
        </w:rPr>
      </w:pPr>
      <w:r>
        <w:rPr>
          <w:rFonts w:hint="eastAsia"/>
          <w:sz w:val="18"/>
          <w:szCs w:val="24"/>
        </w:rPr>
        <w:t>共同经营为单独主体的，分类为共同经营的依据：</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w:t>
      </w:r>
      <w:r>
        <w:rPr>
          <w:rFonts w:hint="eastAsia"/>
          <w:sz w:val="21"/>
          <w:szCs w:val="24"/>
        </w:rPr>
        <w:t>、在未纳入合并财务报表范围的结构化主体中的权益</w:t>
      </w:r>
    </w:p>
    <w:p>
      <w:pPr>
        <w:spacing w:beforeLines="0" w:afterLines="0"/>
        <w:jc w:val="left"/>
        <w:rPr>
          <w:rFonts w:hint="default"/>
          <w:sz w:val="18"/>
          <w:szCs w:val="24"/>
        </w:rPr>
      </w:pPr>
      <w:r>
        <w:rPr>
          <w:rFonts w:hint="eastAsia"/>
          <w:sz w:val="18"/>
          <w:szCs w:val="24"/>
        </w:rPr>
        <w:t>未纳入合并财务报表范围的结构化主体的相关说明：</w:t>
      </w:r>
    </w:p>
    <w:p>
      <w:pPr>
        <w:pStyle w:val="7"/>
        <w:spacing w:beforeLines="0" w:afterLines="0"/>
        <w:outlineLvl w:val="2"/>
        <w:rPr>
          <w:rFonts w:hint="default"/>
          <w:sz w:val="21"/>
          <w:szCs w:val="24"/>
        </w:rPr>
      </w:pPr>
      <w:r>
        <w:rPr>
          <w:rFonts w:hint="default"/>
          <w:sz w:val="21"/>
          <w:szCs w:val="24"/>
        </w:rPr>
        <w:t>6</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十、与金融工具相关的风险</w:t>
      </w:r>
    </w:p>
    <w:p>
      <w:pPr>
        <w:autoSpaceDE w:val="0"/>
        <w:autoSpaceDN w:val="0"/>
        <w:adjustRightInd w:val="0"/>
        <w:spacing w:before="150" w:beforeLines="0" w:after="0" w:afterLines="0"/>
        <w:ind w:firstLine="426"/>
        <w:rPr>
          <w:rFonts w:hint="eastAsia" w:ascii="宋体"/>
          <w:sz w:val="21"/>
          <w:szCs w:val="24"/>
          <w:lang w:val="zh-CN"/>
        </w:rPr>
      </w:pPr>
      <w:r>
        <w:rPr>
          <w:rFonts w:hint="eastAsia" w:ascii="宋体"/>
          <w:sz w:val="21"/>
          <w:szCs w:val="24"/>
          <w:lang w:val="zh-CN"/>
        </w:rPr>
        <w:t>公司在经营过程中面临各种金融风险：信用风险、市场风险和流动性风险。公司经营管理层全面负责风险管理目标和政策的确定，并对风险管理目标和政策承担最终责任。风险管理的总体目标是在不过度影响公司竞争力和应变力的情况下，制定尽可能降低风险的风险管理政策。</w:t>
      </w:r>
    </w:p>
    <w:p>
      <w:pPr>
        <w:autoSpaceDE w:val="0"/>
        <w:autoSpaceDN w:val="0"/>
        <w:adjustRightInd w:val="0"/>
        <w:spacing w:before="150" w:beforeLines="0" w:after="150" w:afterLines="0"/>
        <w:ind w:firstLine="436"/>
        <w:rPr>
          <w:rFonts w:hint="eastAsia" w:ascii="宋体"/>
          <w:b/>
          <w:sz w:val="21"/>
          <w:szCs w:val="24"/>
          <w:lang w:val="zh-CN"/>
        </w:rPr>
      </w:pPr>
      <w:r>
        <w:rPr>
          <w:rFonts w:hint="eastAsia" w:ascii="宋体"/>
          <w:b/>
          <w:sz w:val="21"/>
          <w:szCs w:val="24"/>
          <w:lang w:val="zh-CN"/>
        </w:rPr>
        <w:t>1、信用风险</w:t>
      </w:r>
    </w:p>
    <w:p>
      <w:pPr>
        <w:autoSpaceDE w:val="0"/>
        <w:autoSpaceDN w:val="0"/>
        <w:adjustRightInd w:val="0"/>
        <w:spacing w:before="0" w:beforeLines="0" w:after="0" w:afterLines="0"/>
        <w:ind w:firstLine="426"/>
        <w:rPr>
          <w:rFonts w:hint="eastAsia" w:ascii="宋体"/>
          <w:sz w:val="21"/>
          <w:szCs w:val="24"/>
          <w:lang w:val="zh-CN"/>
        </w:rPr>
      </w:pPr>
      <w:r>
        <w:rPr>
          <w:rFonts w:hint="eastAsia" w:ascii="宋体"/>
          <w:sz w:val="21"/>
          <w:szCs w:val="24"/>
          <w:lang w:val="zh-CN"/>
        </w:rPr>
        <w:t>信用风险是指金融工具的一方不履行义务，造成另一方发生财务损失的风险。</w:t>
      </w:r>
    </w:p>
    <w:p>
      <w:pPr>
        <w:autoSpaceDE w:val="0"/>
        <w:autoSpaceDN w:val="0"/>
        <w:adjustRightInd w:val="0"/>
        <w:spacing w:before="0" w:beforeLines="0" w:after="0" w:afterLines="0"/>
        <w:ind w:firstLine="426"/>
        <w:rPr>
          <w:rFonts w:hint="eastAsia" w:ascii="宋体"/>
          <w:sz w:val="21"/>
          <w:szCs w:val="24"/>
          <w:lang w:val="zh-CN"/>
        </w:rPr>
      </w:pPr>
      <w:r>
        <w:rPr>
          <w:rFonts w:hint="eastAsia" w:ascii="宋体"/>
          <w:sz w:val="21"/>
          <w:szCs w:val="24"/>
          <w:lang w:val="zh-CN"/>
        </w:rPr>
        <w:t>为降低信用风险，本公司制定了相关的内部控制政策负责确定信用额度、进行信用审批，包括外部信用评级和在某些情况下的银行资信证明（当此信息可获取时），并执行其他监控程序以确保采取必要的措施回收过期债权。因此，本公司管理层认为本公司所承担的信用风险已经大为降低。</w:t>
      </w:r>
    </w:p>
    <w:p>
      <w:pPr>
        <w:autoSpaceDE w:val="0"/>
        <w:autoSpaceDN w:val="0"/>
        <w:adjustRightInd w:val="0"/>
        <w:spacing w:before="0" w:beforeLines="0" w:after="0" w:afterLines="0"/>
        <w:ind w:firstLine="426"/>
        <w:rPr>
          <w:rFonts w:hint="eastAsia" w:ascii="宋体"/>
          <w:sz w:val="21"/>
          <w:szCs w:val="24"/>
          <w:lang w:val="zh-CN"/>
        </w:rPr>
      </w:pPr>
      <w:r>
        <w:rPr>
          <w:rFonts w:hint="eastAsia" w:ascii="宋体"/>
          <w:sz w:val="21"/>
          <w:szCs w:val="24"/>
          <w:lang w:val="zh-CN"/>
        </w:rPr>
        <w:t>本公司信用风险主要产生于银行存款、应收账款、其他应收款、应收票据、应收款项融资等，这些金融资产的信用风险源自交易对手违约，最大风险敞口等于这些工具的账面金额。</w:t>
      </w:r>
    </w:p>
    <w:p>
      <w:pPr>
        <w:autoSpaceDE w:val="0"/>
        <w:autoSpaceDN w:val="0"/>
        <w:adjustRightInd w:val="0"/>
        <w:spacing w:before="0" w:beforeLines="0" w:after="0" w:afterLines="0"/>
        <w:ind w:firstLine="436"/>
        <w:jc w:val="left"/>
        <w:rPr>
          <w:rFonts w:hint="eastAsia" w:ascii="宋体"/>
          <w:sz w:val="21"/>
          <w:szCs w:val="24"/>
          <w:lang w:val="zh-CN"/>
        </w:rPr>
      </w:pPr>
      <w:r>
        <w:rPr>
          <w:rFonts w:hint="eastAsia" w:ascii="宋体"/>
          <w:sz w:val="21"/>
          <w:szCs w:val="24"/>
          <w:lang w:val="zh-CN"/>
        </w:rPr>
        <w:t>（1）本公司的流动资金存放在信用评级较高的银行，故流动资金的信用风险较低。</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（2）资产负债表日，公司按会计政策计提了坏账准备。</w:t>
      </w:r>
    </w:p>
    <w:p>
      <w:pPr>
        <w:autoSpaceDE w:val="0"/>
        <w:autoSpaceDN w:val="0"/>
        <w:adjustRightInd w:val="0"/>
        <w:spacing w:before="150" w:beforeLines="0" w:after="150" w:afterLines="0"/>
        <w:ind w:firstLine="436"/>
        <w:rPr>
          <w:rFonts w:hint="eastAsia" w:ascii="宋体"/>
          <w:b/>
          <w:sz w:val="21"/>
          <w:szCs w:val="24"/>
          <w:lang w:val="zh-CN"/>
        </w:rPr>
      </w:pPr>
      <w:r>
        <w:rPr>
          <w:rFonts w:hint="eastAsia" w:ascii="宋体"/>
          <w:b/>
          <w:sz w:val="21"/>
          <w:szCs w:val="24"/>
          <w:lang w:val="zh-CN"/>
        </w:rPr>
        <w:t>2、市场风险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金融工具的市场风险，是指金融工具的公允价值或未来现金流量因市场价格变动而发生波动的风险，包括外汇风险、利率风险和其他价格风险。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（1）外汇风险</w:t>
      </w:r>
    </w:p>
    <w:p>
      <w:pPr>
        <w:autoSpaceDE w:val="0"/>
        <w:autoSpaceDN w:val="0"/>
        <w:adjustRightInd w:val="0"/>
        <w:spacing w:before="0" w:beforeLines="0" w:after="0" w:afterLines="0"/>
        <w:ind w:firstLine="398"/>
        <w:rPr>
          <w:rFonts w:hint="eastAsia" w:ascii="宋体"/>
          <w:sz w:val="21"/>
          <w:szCs w:val="24"/>
          <w:lang w:val="zh-CN"/>
        </w:rPr>
      </w:pPr>
      <w:r>
        <w:rPr>
          <w:rFonts w:hint="eastAsia" w:ascii="宋体"/>
          <w:sz w:val="21"/>
          <w:szCs w:val="24"/>
          <w:lang w:val="zh-CN"/>
        </w:rPr>
        <w:t>外汇风险，是指金融工具的公允价值或未来现金流量因外汇汇率变动而发生波动的风险。本公司面临的外汇风险主要来源于以外币计价的金融资产和金融负债，外币金融资产和外币金融负债列示如下：</w:t>
      </w:r>
    </w:p>
    <w:tbl>
      <w:tblPr>
        <w:tblStyle w:val="4"/>
        <w:tblW w:w="0" w:type="auto"/>
        <w:tblInd w:w="10" w:type="dxa"/>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Layout w:type="fixed"/>
        <w:tblCellMar>
          <w:top w:w="10" w:type="dxa"/>
          <w:left w:w="10" w:type="dxa"/>
          <w:bottom w:w="10" w:type="dxa"/>
          <w:right w:w="10" w:type="dxa"/>
        </w:tblCellMar>
      </w:tblPr>
      <w:tblGrid>
        <w:gridCol w:w="2151"/>
        <w:gridCol w:w="2260"/>
        <w:gridCol w:w="1968"/>
        <w:gridCol w:w="2552"/>
      </w:tblGrid>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项目</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期末外币余额</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折算汇率</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期末折算人民币余额</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b/>
                <w:sz w:val="18"/>
                <w:szCs w:val="24"/>
                <w:lang w:val="zh-CN"/>
              </w:rPr>
            </w:pPr>
            <w:r>
              <w:rPr>
                <w:rFonts w:hint="eastAsia" w:ascii="宋体"/>
                <w:b/>
                <w:sz w:val="18"/>
                <w:szCs w:val="24"/>
                <w:lang w:val="zh-CN"/>
              </w:rPr>
              <w:t>货币资金</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b/>
                <w:sz w:val="18"/>
                <w:szCs w:val="24"/>
                <w:lang w:val="zh-CN"/>
              </w:rPr>
            </w:pP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8,037,784.19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6.3757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51,246,500.66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其中：英镑</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100,003.43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8.6064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860,669.52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b/>
                <w:sz w:val="18"/>
                <w:szCs w:val="24"/>
                <w:lang w:val="zh-CN"/>
              </w:rPr>
            </w:pPr>
            <w:r>
              <w:rPr>
                <w:rFonts w:hint="eastAsia" w:ascii="宋体"/>
                <w:sz w:val="18"/>
                <w:szCs w:val="24"/>
                <w:lang w:val="zh-CN"/>
              </w:rPr>
              <w:t>其中：欧元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372,337.44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7.2197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2,688,164.62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b/>
                <w:sz w:val="18"/>
                <w:szCs w:val="24"/>
                <w:lang w:val="zh-CN"/>
              </w:rPr>
            </w:pPr>
            <w:r>
              <w:rPr>
                <w:rFonts w:hint="eastAsia" w:ascii="宋体"/>
                <w:b/>
                <w:sz w:val="18"/>
                <w:szCs w:val="24"/>
                <w:lang w:val="zh-CN"/>
              </w:rPr>
              <w:t>应收账款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8,523,462.00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6.3757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54,343,036.69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b/>
                <w:sz w:val="18"/>
                <w:szCs w:val="24"/>
                <w:lang w:val="zh-CN"/>
              </w:rPr>
            </w:pPr>
            <w:r>
              <w:rPr>
                <w:rFonts w:hint="eastAsia" w:ascii="宋体"/>
                <w:b/>
                <w:sz w:val="18"/>
                <w:szCs w:val="24"/>
                <w:lang w:val="zh-CN"/>
              </w:rPr>
              <w:t>应付账款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24,024.17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6.3757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153,170.90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rPr>
                <w:rFonts w:hint="eastAsia" w:ascii="宋体"/>
                <w:sz w:val="18"/>
                <w:szCs w:val="24"/>
                <w:lang w:val="zh-CN"/>
              </w:rPr>
            </w:pPr>
            <w:r>
              <w:rPr>
                <w:rFonts w:hint="eastAsia" w:ascii="宋体"/>
                <w:sz w:val="18"/>
                <w:szCs w:val="24"/>
                <w:lang w:val="zh-CN"/>
              </w:rPr>
              <w:t>其中：欧元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74,978.83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7.2197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         541,324.66 </w:t>
            </w: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CellMar>
            <w:top w:w="10" w:type="dxa"/>
            <w:left w:w="10" w:type="dxa"/>
            <w:bottom w:w="10" w:type="dxa"/>
            <w:right w:w="10" w:type="dxa"/>
          </w:tblCellMar>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b/>
                <w:sz w:val="18"/>
                <w:szCs w:val="24"/>
                <w:lang w:val="zh-CN"/>
              </w:rPr>
            </w:pPr>
            <w:r>
              <w:rPr>
                <w:rFonts w:hint="eastAsia" w:ascii="宋体"/>
                <w:b/>
                <w:sz w:val="18"/>
                <w:szCs w:val="24"/>
                <w:lang w:val="zh-CN"/>
              </w:rPr>
              <w:t>其他应付款</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p>
        </w:tc>
      </w:tr>
      <w:tr>
        <w:tblPrEx>
          <w:tblBorders>
            <w:top w:val="single" w:color="auto" w:sz="6" w:space="0"/>
            <w:left w:val="single" w:color="auto" w:sz="6" w:space="0"/>
            <w:bottom w:val="single" w:color="auto" w:sz="12" w:space="0"/>
            <w:right w:val="none" w:color="auto" w:sz="0" w:space="0"/>
            <w:insideH w:val="single" w:color="auto" w:sz="6" w:space="0"/>
            <w:insideV w:val="single" w:color="auto" w:sz="6" w:space="0"/>
          </w:tblBorders>
        </w:tblPrEx>
        <w:tc>
          <w:tcPr>
            <w:tcW w:w="2151"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其中：美元</w:t>
            </w:r>
          </w:p>
        </w:tc>
        <w:tc>
          <w:tcPr>
            <w:tcW w:w="2260"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206,395.31 </w:t>
            </w:r>
          </w:p>
        </w:tc>
        <w:tc>
          <w:tcPr>
            <w:tcW w:w="1968"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6.3757 </w:t>
            </w:r>
          </w:p>
        </w:tc>
        <w:tc>
          <w:tcPr>
            <w:tcW w:w="2552" w:type="dxa"/>
            <w:tcBorders>
              <w:top w:val="single" w:color="auto" w:sz="6"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 xml:space="preserve">1,315,914.58 </w:t>
            </w:r>
          </w:p>
        </w:tc>
      </w:tr>
    </w:tbl>
    <w:p>
      <w:pPr>
        <w:autoSpaceDE w:val="0"/>
        <w:autoSpaceDN w:val="0"/>
        <w:adjustRightInd w:val="0"/>
        <w:spacing w:before="150" w:beforeLines="0" w:after="0" w:afterLines="0"/>
        <w:ind w:firstLine="426"/>
        <w:rPr>
          <w:rFonts w:hint="eastAsia" w:ascii="宋体"/>
          <w:sz w:val="21"/>
          <w:szCs w:val="24"/>
          <w:lang w:val="zh-CN"/>
        </w:rPr>
      </w:pPr>
      <w:r>
        <w:rPr>
          <w:rFonts w:hint="eastAsia" w:ascii="宋体"/>
          <w:sz w:val="21"/>
          <w:szCs w:val="24"/>
          <w:lang w:val="zh-CN"/>
        </w:rPr>
        <w:t>为规避汇率风险，公司主要采取以下措施：通过积极调整生产结构和产品结构，提高劳动生产率和产品附加值，争取更大的利润空间；合理利用结汇规则并择机开展远期结汇业务，力求结汇利益最大化；加快资金回笼速度，及时结汇，加快资金的周转率；充分依靠公司的竞争优势，发挥议价能力，接单过程中全面考虑人民币的升值预期，在出口合同中附加相关条款，减少和转嫁部分汇率波动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（2）利率风险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利率风险，是指金融工具的公允价值或未来现金流量因市场利率变动而发生波动的风险。本公司面临的利率风险主要来源于企业与银行及其他金融机构之间的往来业务。</w:t>
      </w:r>
    </w:p>
    <w:p>
      <w:pPr>
        <w:autoSpaceDE w:val="0"/>
        <w:autoSpaceDN w:val="0"/>
        <w:adjustRightInd w:val="0"/>
        <w:spacing w:before="150" w:beforeLines="0" w:after="150" w:afterLines="0"/>
        <w:ind w:firstLine="436"/>
        <w:rPr>
          <w:rFonts w:hint="eastAsia" w:ascii="宋体"/>
          <w:b/>
          <w:sz w:val="21"/>
          <w:szCs w:val="24"/>
          <w:lang w:val="zh-CN"/>
        </w:rPr>
      </w:pPr>
      <w:r>
        <w:rPr>
          <w:rFonts w:hint="eastAsia" w:ascii="宋体"/>
          <w:b/>
          <w:sz w:val="21"/>
          <w:szCs w:val="24"/>
          <w:lang w:val="zh-CN"/>
        </w:rPr>
        <w:t>3、流动性风险</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流动性风险，是指企业在履行以交付现金或其他金融资产的方式结算的义务时发生资金短缺的风险。本公司的政策是确保拥有充足的现金以偿还到期债务。流动性风险由本公司的财务部门集中控制。财务部门通过监控现金余额、可随时变现的有价证券等以确保公司在所有合理预测的情况下拥有充足的资金偿还债务。</w:t>
      </w:r>
    </w:p>
    <w:p>
      <w:pPr>
        <w:pStyle w:val="6"/>
        <w:spacing w:beforeLines="0" w:afterLines="0"/>
        <w:outlineLvl w:val="1"/>
        <w:rPr>
          <w:rFonts w:hint="default"/>
          <w:sz w:val="24"/>
          <w:szCs w:val="24"/>
        </w:rPr>
      </w:pPr>
      <w:r>
        <w:rPr>
          <w:rFonts w:hint="eastAsia"/>
          <w:sz w:val="24"/>
          <w:szCs w:val="24"/>
        </w:rPr>
        <w:t>十一、公允价值的披露</w:t>
      </w:r>
    </w:p>
    <w:p>
      <w:pPr>
        <w:pStyle w:val="7"/>
        <w:spacing w:beforeLines="0" w:afterLines="0"/>
        <w:outlineLvl w:val="2"/>
        <w:rPr>
          <w:rFonts w:hint="default"/>
          <w:sz w:val="21"/>
          <w:szCs w:val="24"/>
        </w:rPr>
      </w:pPr>
      <w:r>
        <w:rPr>
          <w:rFonts w:hint="default"/>
          <w:sz w:val="21"/>
          <w:szCs w:val="24"/>
        </w:rPr>
        <w:t>1</w:t>
      </w:r>
      <w:r>
        <w:rPr>
          <w:rFonts w:hint="eastAsia"/>
          <w:sz w:val="21"/>
          <w:szCs w:val="24"/>
        </w:rPr>
        <w:t>、以公允价值计量的资产和负债的期末公允价值</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4"/>
        <w:gridCol w:w="1837"/>
        <w:gridCol w:w="1913"/>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7576"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期末公允价值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第三层次公允价值计量</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一、持续的公允价值计量</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（一）交易性金融资产</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以公允价值计量且其变动计入当期损益的金融资产</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（八）应收款项融资</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持续以公允价值计量的负债总额</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188,606,030.67</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11,585,000.00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200,191,030.67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二、非持续的公允价值计量</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、持续和非持续第一层次公允价值计量项目市价的确定依据</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相同资产或负债在活跃市场上未经调整的报价。</w:t>
      </w:r>
    </w:p>
    <w:p>
      <w:pPr>
        <w:pStyle w:val="7"/>
        <w:spacing w:beforeLines="0" w:afterLines="0"/>
        <w:outlineLvl w:val="2"/>
        <w:rPr>
          <w:rFonts w:hint="default"/>
          <w:sz w:val="21"/>
          <w:szCs w:val="24"/>
        </w:rPr>
      </w:pPr>
      <w:r>
        <w:rPr>
          <w:rFonts w:hint="default"/>
          <w:sz w:val="21"/>
          <w:szCs w:val="24"/>
        </w:rPr>
        <w:t>3</w:t>
      </w:r>
      <w:r>
        <w:rPr>
          <w:rFonts w:hint="eastAsia"/>
          <w:sz w:val="21"/>
          <w:szCs w:val="24"/>
        </w:rPr>
        <w:t>、持续和非持续第二层次公允价值计量项目，采用的估值技术和重要参数的定性及定量信息</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除第一层次输入值外相关资产或负债直接或间接可观察的输入值。</w:t>
      </w:r>
    </w:p>
    <w:p>
      <w:pPr>
        <w:pStyle w:val="7"/>
        <w:spacing w:beforeLines="0" w:afterLines="0"/>
        <w:outlineLvl w:val="2"/>
        <w:rPr>
          <w:rFonts w:hint="default"/>
          <w:sz w:val="21"/>
          <w:szCs w:val="24"/>
        </w:rPr>
      </w:pPr>
      <w:r>
        <w:rPr>
          <w:rFonts w:hint="default"/>
          <w:sz w:val="21"/>
          <w:szCs w:val="24"/>
        </w:rPr>
        <w:t>4</w:t>
      </w:r>
      <w:r>
        <w:rPr>
          <w:rFonts w:hint="eastAsia"/>
          <w:sz w:val="21"/>
          <w:szCs w:val="24"/>
        </w:rPr>
        <w:t>、持续和非持续第三层次公允价值计量项目，采用的估值技术和重要参数的定性及定量信息</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采用第三层次公允价值计量的资产系公司持有的应收款项融资，其剩余期限较短，账面价值与公允价值相近。</w:t>
      </w:r>
    </w:p>
    <w:p>
      <w:pPr>
        <w:pStyle w:val="7"/>
        <w:spacing w:beforeLines="0" w:afterLines="0"/>
        <w:outlineLvl w:val="2"/>
        <w:rPr>
          <w:rFonts w:hint="default"/>
          <w:sz w:val="21"/>
          <w:szCs w:val="24"/>
        </w:rPr>
      </w:pPr>
      <w:r>
        <w:rPr>
          <w:rFonts w:hint="default"/>
          <w:sz w:val="21"/>
          <w:szCs w:val="24"/>
        </w:rPr>
        <w:t>5</w:t>
      </w:r>
      <w:r>
        <w:rPr>
          <w:rFonts w:hint="eastAsia"/>
          <w:sz w:val="21"/>
          <w:szCs w:val="24"/>
        </w:rPr>
        <w:t>、持续的第三层次公允价值计量项目，期初与期末账面价值间的调节信息及不可观察参数敏感性分析</w:t>
      </w:r>
    </w:p>
    <w:p>
      <w:pPr>
        <w:pStyle w:val="7"/>
        <w:spacing w:beforeLines="0" w:afterLines="0"/>
        <w:outlineLvl w:val="2"/>
        <w:rPr>
          <w:rFonts w:hint="default"/>
          <w:sz w:val="21"/>
          <w:szCs w:val="24"/>
        </w:rPr>
      </w:pPr>
      <w:r>
        <w:rPr>
          <w:rFonts w:hint="default"/>
          <w:sz w:val="21"/>
          <w:szCs w:val="24"/>
        </w:rPr>
        <w:t>6</w:t>
      </w:r>
      <w:r>
        <w:rPr>
          <w:rFonts w:hint="eastAsia"/>
          <w:sz w:val="21"/>
          <w:szCs w:val="24"/>
        </w:rPr>
        <w:t>、持续的公允价值计量项目，本期内发生各层级之间转换的，转换的原因及确定转换时点的政策</w:t>
      </w:r>
    </w:p>
    <w:p>
      <w:pPr>
        <w:pStyle w:val="7"/>
        <w:spacing w:beforeLines="0" w:afterLines="0"/>
        <w:outlineLvl w:val="2"/>
        <w:rPr>
          <w:rFonts w:hint="default"/>
          <w:sz w:val="21"/>
          <w:szCs w:val="24"/>
        </w:rPr>
      </w:pPr>
      <w:r>
        <w:rPr>
          <w:rFonts w:hint="default"/>
          <w:sz w:val="21"/>
          <w:szCs w:val="24"/>
        </w:rPr>
        <w:t>7</w:t>
      </w:r>
      <w:r>
        <w:rPr>
          <w:rFonts w:hint="eastAsia"/>
          <w:sz w:val="21"/>
          <w:szCs w:val="24"/>
        </w:rPr>
        <w:t>、本期内发生的估值技术变更及变更原因</w:t>
      </w:r>
    </w:p>
    <w:p>
      <w:pPr>
        <w:pStyle w:val="7"/>
        <w:spacing w:beforeLines="0" w:afterLines="0"/>
        <w:outlineLvl w:val="2"/>
        <w:rPr>
          <w:rFonts w:hint="default"/>
          <w:sz w:val="21"/>
          <w:szCs w:val="24"/>
        </w:rPr>
      </w:pPr>
      <w:r>
        <w:rPr>
          <w:rFonts w:hint="default"/>
          <w:sz w:val="21"/>
          <w:szCs w:val="24"/>
        </w:rPr>
        <w:t>8</w:t>
      </w:r>
      <w:r>
        <w:rPr>
          <w:rFonts w:hint="eastAsia"/>
          <w:sz w:val="21"/>
          <w:szCs w:val="24"/>
        </w:rPr>
        <w:t>、不以公允价值计量的金融资产和金融负债的公允价值情况</w:t>
      </w:r>
    </w:p>
    <w:p>
      <w:pPr>
        <w:pStyle w:val="7"/>
        <w:spacing w:beforeLines="0" w:afterLines="0"/>
        <w:outlineLvl w:val="2"/>
        <w:rPr>
          <w:rFonts w:hint="default"/>
          <w:sz w:val="21"/>
          <w:szCs w:val="24"/>
        </w:rPr>
      </w:pPr>
      <w:r>
        <w:rPr>
          <w:rFonts w:hint="default"/>
          <w:sz w:val="21"/>
          <w:szCs w:val="24"/>
        </w:rPr>
        <w:t>9</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十二、关联方及关联交易</w:t>
      </w:r>
    </w:p>
    <w:p>
      <w:pPr>
        <w:pStyle w:val="7"/>
        <w:spacing w:beforeLines="0" w:afterLines="0"/>
        <w:outlineLvl w:val="2"/>
        <w:rPr>
          <w:rFonts w:hint="default"/>
          <w:sz w:val="21"/>
          <w:szCs w:val="24"/>
        </w:rPr>
      </w:pPr>
      <w:r>
        <w:rPr>
          <w:rFonts w:hint="default"/>
          <w:sz w:val="21"/>
          <w:szCs w:val="24"/>
        </w:rPr>
        <w:t>1</w:t>
      </w:r>
      <w:r>
        <w:rPr>
          <w:rFonts w:hint="eastAsia"/>
          <w:sz w:val="21"/>
          <w:szCs w:val="24"/>
        </w:rPr>
        <w:t>、本企业的母公司情况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5"/>
        <w:gridCol w:w="1594"/>
        <w:gridCol w:w="1594"/>
        <w:gridCol w:w="1594"/>
        <w:gridCol w:w="1594"/>
        <w:gridCol w:w="1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母公司名称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注册地</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业务性质</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注册资本</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母公司对本企业的持股比例</w:t>
            </w:r>
          </w:p>
        </w:tc>
        <w:tc>
          <w:tcPr>
            <w:tcW w:w="15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母公司对本企业的表决权比例</w:t>
            </w:r>
          </w:p>
        </w:tc>
      </w:tr>
    </w:tbl>
    <w:p>
      <w:pPr>
        <w:spacing w:beforeLines="0" w:afterLines="0"/>
        <w:jc w:val="left"/>
        <w:rPr>
          <w:rFonts w:hint="default"/>
          <w:sz w:val="18"/>
          <w:szCs w:val="24"/>
        </w:rPr>
      </w:pPr>
      <w:r>
        <w:rPr>
          <w:rFonts w:hint="eastAsia"/>
          <w:sz w:val="18"/>
          <w:szCs w:val="24"/>
        </w:rPr>
        <w:t>本企业的母公司情况的说明</w:t>
      </w:r>
    </w:p>
    <w:p>
      <w:pPr>
        <w:spacing w:beforeLines="0" w:afterLines="0"/>
        <w:jc w:val="left"/>
        <w:rPr>
          <w:rFonts w:hint="default"/>
          <w:sz w:val="18"/>
          <w:szCs w:val="24"/>
        </w:rPr>
      </w:pPr>
      <w:r>
        <w:rPr>
          <w:rFonts w:hint="eastAsia"/>
          <w:sz w:val="18"/>
          <w:szCs w:val="24"/>
        </w:rPr>
        <w:t>本企业最终控制方是范庆伟家族。</w:t>
      </w:r>
    </w:p>
    <w:p>
      <w:pPr>
        <w:spacing w:beforeLines="0" w:afterLines="0"/>
        <w:jc w:val="left"/>
        <w:rPr>
          <w:rFonts w:hint="default"/>
          <w:sz w:val="18"/>
          <w:szCs w:val="24"/>
        </w:rPr>
      </w:pPr>
      <w:r>
        <w:rPr>
          <w:rFonts w:hint="eastAsia"/>
          <w:sz w:val="18"/>
          <w:szCs w:val="24"/>
        </w:rPr>
        <w:t>其他说明：</w:t>
      </w:r>
    </w:p>
    <w:tbl>
      <w:tblPr>
        <w:tblStyle w:val="4"/>
        <w:tblW w:w="0" w:type="auto"/>
        <w:tblInd w:w="10" w:type="dxa"/>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Layout w:type="fixed"/>
        <w:tblCellMar>
          <w:top w:w="10" w:type="dxa"/>
          <w:left w:w="10" w:type="dxa"/>
          <w:bottom w:w="10" w:type="dxa"/>
          <w:right w:w="10" w:type="dxa"/>
        </w:tblCellMar>
      </w:tblPr>
      <w:tblGrid>
        <w:gridCol w:w="2151"/>
        <w:gridCol w:w="2260"/>
        <w:gridCol w:w="2535"/>
        <w:gridCol w:w="1985"/>
      </w:tblGrid>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PrEx>
        <w:tc>
          <w:tcPr>
            <w:tcW w:w="21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本公司实际控制人</w:t>
            </w:r>
          </w:p>
        </w:tc>
        <w:tc>
          <w:tcPr>
            <w:tcW w:w="226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对本公司的持股比例（%）</w:t>
            </w:r>
          </w:p>
        </w:tc>
        <w:tc>
          <w:tcPr>
            <w:tcW w:w="253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对本公司的表决权比例（%）</w:t>
            </w:r>
          </w:p>
        </w:tc>
        <w:tc>
          <w:tcPr>
            <w:tcW w:w="198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b/>
                <w:sz w:val="18"/>
                <w:szCs w:val="24"/>
                <w:lang w:val="zh-CN"/>
              </w:rPr>
              <w:t>本公司最终控制方</w:t>
            </w:r>
          </w:p>
        </w:tc>
      </w:tr>
      <w:tr>
        <w:tblPrEx>
          <w:tblBorders>
            <w:top w:val="single" w:color="auto" w:sz="12" w:space="0"/>
            <w:left w:val="single" w:color="auto" w:sz="6" w:space="0"/>
            <w:bottom w:val="single" w:color="auto" w:sz="12" w:space="0"/>
            <w:right w:val="none" w:color="auto" w:sz="0" w:space="0"/>
            <w:insideH w:val="single" w:color="auto" w:sz="12" w:space="0"/>
            <w:insideV w:val="single" w:color="auto" w:sz="6" w:space="0"/>
          </w:tblBorders>
        </w:tblPrEx>
        <w:tc>
          <w:tcPr>
            <w:tcW w:w="2151"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left"/>
              <w:rPr>
                <w:rFonts w:hint="eastAsia" w:ascii="宋体"/>
                <w:b/>
                <w:sz w:val="18"/>
                <w:szCs w:val="24"/>
                <w:lang w:val="zh-CN"/>
              </w:rPr>
            </w:pPr>
            <w:r>
              <w:rPr>
                <w:rFonts w:hint="eastAsia" w:ascii="宋体"/>
                <w:sz w:val="18"/>
                <w:szCs w:val="24"/>
                <w:lang w:val="zh-CN"/>
              </w:rPr>
              <w:t>范庆伟家族</w:t>
            </w:r>
          </w:p>
        </w:tc>
        <w:tc>
          <w:tcPr>
            <w:tcW w:w="2260"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65.18</w:t>
            </w:r>
          </w:p>
        </w:tc>
        <w:tc>
          <w:tcPr>
            <w:tcW w:w="253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right"/>
              <w:rPr>
                <w:rFonts w:hint="eastAsia" w:ascii="宋体"/>
                <w:sz w:val="18"/>
                <w:szCs w:val="24"/>
                <w:lang w:val="zh-CN"/>
              </w:rPr>
            </w:pPr>
            <w:r>
              <w:rPr>
                <w:rFonts w:hint="eastAsia" w:ascii="宋体"/>
                <w:sz w:val="18"/>
                <w:szCs w:val="24"/>
                <w:lang w:val="zh-CN"/>
              </w:rPr>
              <w:t>65.18</w:t>
            </w:r>
          </w:p>
        </w:tc>
        <w:tc>
          <w:tcPr>
            <w:tcW w:w="1985" w:type="dxa"/>
            <w:tcBorders>
              <w:top w:val="single" w:color="auto" w:sz="12" w:space="0"/>
              <w:left w:val="single" w:color="auto" w:sz="6" w:space="0"/>
              <w:bottom w:val="single" w:color="auto" w:sz="12" w:space="0"/>
              <w:right w:val="nil"/>
              <w:tl2br w:val="nil"/>
              <w:tr2bl w:val="nil"/>
            </w:tcBorders>
            <w:noWrap w:val="0"/>
            <w:vAlign w:val="top"/>
          </w:tcPr>
          <w:p>
            <w:pPr>
              <w:autoSpaceDE w:val="0"/>
              <w:autoSpaceDN w:val="0"/>
              <w:adjustRightInd w:val="0"/>
              <w:spacing w:before="0" w:beforeLines="0" w:after="0" w:afterLines="0"/>
              <w:jc w:val="center"/>
              <w:rPr>
                <w:rFonts w:hint="eastAsia" w:ascii="宋体"/>
                <w:b/>
                <w:sz w:val="18"/>
                <w:szCs w:val="24"/>
                <w:lang w:val="zh-CN"/>
              </w:rPr>
            </w:pPr>
            <w:r>
              <w:rPr>
                <w:rFonts w:hint="eastAsia" w:ascii="宋体"/>
                <w:sz w:val="18"/>
                <w:szCs w:val="24"/>
                <w:lang w:val="zh-CN"/>
              </w:rPr>
              <w:t>范庆伟家族</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、本企业的子公司情况</w:t>
      </w:r>
    </w:p>
    <w:p>
      <w:pPr>
        <w:spacing w:beforeLines="0" w:afterLines="0"/>
        <w:jc w:val="left"/>
        <w:rPr>
          <w:rFonts w:hint="default"/>
          <w:sz w:val="18"/>
          <w:szCs w:val="24"/>
        </w:rPr>
      </w:pPr>
      <w:r>
        <w:rPr>
          <w:rFonts w:hint="eastAsia"/>
          <w:sz w:val="18"/>
          <w:szCs w:val="24"/>
        </w:rPr>
        <w:t>本企业子公司的情况详见附注第十二节、九、</w:t>
      </w:r>
      <w:r>
        <w:rPr>
          <w:rFonts w:hint="default"/>
          <w:sz w:val="18"/>
          <w:szCs w:val="24"/>
        </w:rPr>
        <w:t>1</w:t>
      </w:r>
      <w:r>
        <w:rPr>
          <w:rFonts w:hint="eastAsia"/>
          <w:sz w:val="18"/>
          <w:szCs w:val="24"/>
        </w:rPr>
        <w:t>。</w:t>
      </w:r>
    </w:p>
    <w:p>
      <w:pPr>
        <w:pStyle w:val="7"/>
        <w:spacing w:beforeLines="0" w:afterLines="0"/>
        <w:outlineLvl w:val="2"/>
        <w:rPr>
          <w:rFonts w:hint="default"/>
          <w:sz w:val="21"/>
          <w:szCs w:val="24"/>
        </w:rPr>
      </w:pPr>
      <w:r>
        <w:rPr>
          <w:rFonts w:hint="default"/>
          <w:sz w:val="21"/>
          <w:szCs w:val="24"/>
        </w:rPr>
        <w:t>3</w:t>
      </w:r>
      <w:r>
        <w:rPr>
          <w:rFonts w:hint="eastAsia"/>
          <w:sz w:val="21"/>
          <w:szCs w:val="24"/>
        </w:rPr>
        <w:t>、本企业合营和联营企业情况</w:t>
      </w:r>
    </w:p>
    <w:p>
      <w:pPr>
        <w:spacing w:beforeLines="0" w:afterLines="0"/>
        <w:jc w:val="left"/>
        <w:rPr>
          <w:rFonts w:hint="default"/>
          <w:sz w:val="18"/>
          <w:szCs w:val="24"/>
        </w:rPr>
      </w:pPr>
      <w:r>
        <w:rPr>
          <w:rFonts w:hint="eastAsia"/>
          <w:sz w:val="18"/>
          <w:szCs w:val="24"/>
        </w:rPr>
        <w:t>本企业重要的合营或联营企业详见附注。</w:t>
      </w:r>
    </w:p>
    <w:p>
      <w:pPr>
        <w:spacing w:beforeLines="0" w:afterLines="0"/>
        <w:jc w:val="left"/>
        <w:rPr>
          <w:rFonts w:hint="default"/>
          <w:sz w:val="18"/>
          <w:szCs w:val="24"/>
        </w:rPr>
      </w:pPr>
      <w:r>
        <w:rPr>
          <w:rFonts w:hint="eastAsia"/>
          <w:sz w:val="18"/>
          <w:szCs w:val="24"/>
        </w:rPr>
        <w:t>本期与本公司发生关联方交易，或前期与本公司发生关联方交易形成余额的其他合营或联营企业情况如下：</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合营或联营企业名称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与本企业关系</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4</w:t>
      </w:r>
      <w:r>
        <w:rPr>
          <w:rFonts w:hint="eastAsia"/>
          <w:sz w:val="21"/>
          <w:szCs w:val="24"/>
        </w:rPr>
        <w:t>、其他关联方情况</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2"/>
        <w:gridCol w:w="4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其他关联方名称</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其他关联方与本企业关系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范玉隆</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公司股东、实际控制人家族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江西惠隆企业管理有限公司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持有公司</w:t>
            </w:r>
            <w:r>
              <w:rPr>
                <w:rFonts w:hint="default"/>
                <w:sz w:val="18"/>
                <w:szCs w:val="24"/>
              </w:rPr>
              <w:t>5%</w:t>
            </w:r>
            <w:r>
              <w:rPr>
                <w:rFonts w:hint="eastAsia"/>
                <w:sz w:val="18"/>
                <w:szCs w:val="24"/>
              </w:rPr>
              <w:t>以上股份股东、实际控制人控制的公司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青岛天海峰商贸有限公司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公司高管迟娜娜配偶李侃控制的公司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昌邑恒丽非织造布有限公司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董事及总经理李会君之兄李会贤担任董事的公司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兰州鑫驰商贸有限公司</w:t>
            </w:r>
          </w:p>
        </w:tc>
        <w:tc>
          <w:tcPr>
            <w:tcW w:w="47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董事迟娜娜之兄嫂金巧控制的公司</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w:t>
      </w:r>
      <w:r>
        <w:rPr>
          <w:rFonts w:hint="eastAsia"/>
          <w:sz w:val="21"/>
          <w:szCs w:val="24"/>
        </w:rPr>
        <w:t>、关联交易情况</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）购销商品、提供和接受劳务的关联交易</w:t>
      </w:r>
    </w:p>
    <w:p>
      <w:pPr>
        <w:spacing w:beforeLines="0" w:afterLines="0"/>
        <w:jc w:val="left"/>
        <w:rPr>
          <w:rFonts w:hint="default"/>
          <w:sz w:val="18"/>
          <w:szCs w:val="24"/>
        </w:rPr>
      </w:pPr>
      <w:r>
        <w:rPr>
          <w:rFonts w:hint="eastAsia"/>
          <w:sz w:val="18"/>
          <w:szCs w:val="24"/>
        </w:rPr>
        <w:t>采购商品</w:t>
      </w:r>
      <w:r>
        <w:rPr>
          <w:rFonts w:hint="default"/>
          <w:sz w:val="18"/>
          <w:szCs w:val="24"/>
        </w:rPr>
        <w:t>/</w:t>
      </w:r>
      <w:r>
        <w:rPr>
          <w:rFonts w:hint="eastAsia"/>
          <w:sz w:val="18"/>
          <w:szCs w:val="24"/>
        </w:rPr>
        <w:t>接受劳务情况表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0"/>
        <w:gridCol w:w="1454"/>
        <w:gridCol w:w="1454"/>
        <w:gridCol w:w="1707"/>
        <w:gridCol w:w="1707"/>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4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1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关联交易内容</w:t>
            </w:r>
          </w:p>
        </w:tc>
        <w:tc>
          <w:tcPr>
            <w:tcW w:w="1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获批的交易额度</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是否超过交易额度</w:t>
            </w:r>
          </w:p>
        </w:tc>
        <w:tc>
          <w:tcPr>
            <w:tcW w:w="170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出售商品</w:t>
      </w:r>
      <w:r>
        <w:rPr>
          <w:rFonts w:hint="default"/>
          <w:sz w:val="18"/>
          <w:szCs w:val="24"/>
        </w:rPr>
        <w:t>/</w:t>
      </w:r>
      <w:r>
        <w:rPr>
          <w:rFonts w:hint="eastAsia"/>
          <w:sz w:val="18"/>
          <w:szCs w:val="24"/>
        </w:rPr>
        <w:t>提供劳务情况表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7"/>
        <w:gridCol w:w="2259"/>
        <w:gridCol w:w="2259"/>
        <w:gridCol w:w="2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22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关联交易内容</w:t>
            </w:r>
          </w:p>
        </w:tc>
        <w:tc>
          <w:tcPr>
            <w:tcW w:w="22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65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spacing w:beforeLines="0" w:afterLines="0"/>
        <w:jc w:val="left"/>
        <w:rPr>
          <w:rFonts w:hint="default"/>
          <w:sz w:val="18"/>
          <w:szCs w:val="24"/>
        </w:rPr>
      </w:pPr>
      <w:r>
        <w:rPr>
          <w:rFonts w:hint="eastAsia"/>
          <w:sz w:val="18"/>
          <w:szCs w:val="24"/>
        </w:rPr>
        <w:t>购销商品、提供和接受劳务的关联交易说明</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）关联受托管理</w:t>
      </w:r>
      <w:r>
        <w:rPr>
          <w:rFonts w:hint="default"/>
          <w:sz w:val="21"/>
          <w:szCs w:val="24"/>
        </w:rPr>
        <w:t>/</w:t>
      </w:r>
      <w:r>
        <w:rPr>
          <w:rFonts w:hint="eastAsia"/>
          <w:sz w:val="21"/>
          <w:szCs w:val="24"/>
        </w:rPr>
        <w:t>承包及委托管理</w:t>
      </w:r>
      <w:r>
        <w:rPr>
          <w:rFonts w:hint="default"/>
          <w:sz w:val="21"/>
          <w:szCs w:val="24"/>
        </w:rPr>
        <w:t>/</w:t>
      </w:r>
      <w:r>
        <w:rPr>
          <w:rFonts w:hint="eastAsia"/>
          <w:sz w:val="21"/>
          <w:szCs w:val="24"/>
        </w:rPr>
        <w:t>出包情况</w:t>
      </w:r>
    </w:p>
    <w:p>
      <w:pPr>
        <w:spacing w:beforeLines="0" w:afterLines="0"/>
        <w:jc w:val="left"/>
        <w:rPr>
          <w:rFonts w:hint="default"/>
          <w:sz w:val="18"/>
          <w:szCs w:val="24"/>
        </w:rPr>
      </w:pPr>
      <w:r>
        <w:rPr>
          <w:rFonts w:hint="eastAsia"/>
          <w:sz w:val="18"/>
          <w:szCs w:val="24"/>
        </w:rPr>
        <w:t>本公司受托管理</w:t>
      </w:r>
      <w:r>
        <w:rPr>
          <w:rFonts w:hint="default"/>
          <w:sz w:val="18"/>
          <w:szCs w:val="24"/>
        </w:rPr>
        <w:t>/</w:t>
      </w:r>
      <w:r>
        <w:rPr>
          <w:rFonts w:hint="eastAsia"/>
          <w:sz w:val="18"/>
          <w:szCs w:val="24"/>
        </w:rPr>
        <w:t>承包情况表：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7"/>
        <w:gridCol w:w="1368"/>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委托方</w:t>
            </w:r>
            <w:r>
              <w:rPr>
                <w:rFonts w:hint="default"/>
                <w:sz w:val="18"/>
                <w:szCs w:val="24"/>
              </w:rPr>
              <w:t>/</w:t>
            </w:r>
            <w:r>
              <w:rPr>
                <w:rFonts w:hint="eastAsia"/>
                <w:sz w:val="18"/>
                <w:szCs w:val="24"/>
              </w:rPr>
              <w:t>出包方名称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受托方</w:t>
            </w:r>
            <w:r>
              <w:rPr>
                <w:rFonts w:hint="default"/>
                <w:sz w:val="18"/>
                <w:szCs w:val="24"/>
              </w:rPr>
              <w:t>/</w:t>
            </w:r>
            <w:r>
              <w:rPr>
                <w:rFonts w:hint="eastAsia"/>
                <w:sz w:val="18"/>
                <w:szCs w:val="24"/>
              </w:rPr>
              <w:t>承包方名称</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承包资产类型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承包起始日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w:t>
            </w:r>
            <w:r>
              <w:rPr>
                <w:rFonts w:hint="default"/>
                <w:sz w:val="18"/>
                <w:szCs w:val="24"/>
              </w:rPr>
              <w:t>/</w:t>
            </w:r>
            <w:r>
              <w:rPr>
                <w:rFonts w:hint="eastAsia"/>
                <w:sz w:val="18"/>
                <w:szCs w:val="24"/>
              </w:rPr>
              <w:t>承包终止日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托管收益</w:t>
            </w:r>
            <w:r>
              <w:rPr>
                <w:rFonts w:hint="default"/>
                <w:sz w:val="18"/>
                <w:szCs w:val="24"/>
              </w:rPr>
              <w:t>/</w:t>
            </w:r>
            <w:r>
              <w:rPr>
                <w:rFonts w:hint="eastAsia"/>
                <w:sz w:val="18"/>
                <w:szCs w:val="24"/>
              </w:rPr>
              <w:t>承包收益定价依据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本期确认的托管收益</w:t>
            </w:r>
            <w:r>
              <w:rPr>
                <w:rFonts w:hint="default"/>
                <w:sz w:val="18"/>
                <w:szCs w:val="24"/>
              </w:rPr>
              <w:t>/</w:t>
            </w:r>
            <w:r>
              <w:rPr>
                <w:rFonts w:hint="eastAsia"/>
                <w:sz w:val="18"/>
                <w:szCs w:val="24"/>
              </w:rPr>
              <w:t>承包收益</w:t>
            </w:r>
          </w:p>
        </w:tc>
      </w:tr>
    </w:tbl>
    <w:p>
      <w:pPr>
        <w:spacing w:beforeLines="0" w:afterLines="0"/>
        <w:jc w:val="left"/>
        <w:rPr>
          <w:rFonts w:hint="default"/>
          <w:sz w:val="18"/>
          <w:szCs w:val="24"/>
        </w:rPr>
      </w:pPr>
      <w:r>
        <w:rPr>
          <w:rFonts w:hint="eastAsia"/>
          <w:sz w:val="18"/>
          <w:szCs w:val="24"/>
        </w:rPr>
        <w:t>关联托管</w:t>
      </w:r>
      <w:r>
        <w:rPr>
          <w:rFonts w:hint="default"/>
          <w:sz w:val="18"/>
          <w:szCs w:val="24"/>
        </w:rPr>
        <w:t>/</w:t>
      </w:r>
      <w:r>
        <w:rPr>
          <w:rFonts w:hint="eastAsia"/>
          <w:sz w:val="18"/>
          <w:szCs w:val="24"/>
        </w:rPr>
        <w:t>承包情况说明</w:t>
      </w:r>
    </w:p>
    <w:p>
      <w:pPr>
        <w:spacing w:beforeLines="0" w:afterLines="0"/>
        <w:jc w:val="left"/>
        <w:rPr>
          <w:rFonts w:hint="default"/>
          <w:sz w:val="18"/>
          <w:szCs w:val="24"/>
        </w:rPr>
      </w:pPr>
      <w:r>
        <w:rPr>
          <w:rFonts w:hint="eastAsia"/>
          <w:sz w:val="18"/>
          <w:szCs w:val="24"/>
        </w:rPr>
        <w:t>本公司委托管理</w:t>
      </w:r>
      <w:r>
        <w:rPr>
          <w:rFonts w:hint="default"/>
          <w:sz w:val="18"/>
          <w:szCs w:val="24"/>
        </w:rPr>
        <w:t>/</w:t>
      </w:r>
      <w:r>
        <w:rPr>
          <w:rFonts w:hint="eastAsia"/>
          <w:sz w:val="18"/>
          <w:szCs w:val="24"/>
        </w:rPr>
        <w:t>出包情况表：</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7"/>
        <w:gridCol w:w="1368"/>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委托方</w:t>
            </w:r>
            <w:r>
              <w:rPr>
                <w:rFonts w:hint="default"/>
                <w:sz w:val="18"/>
                <w:szCs w:val="24"/>
              </w:rPr>
              <w:t>/</w:t>
            </w:r>
            <w:r>
              <w:rPr>
                <w:rFonts w:hint="eastAsia"/>
                <w:sz w:val="18"/>
                <w:szCs w:val="24"/>
              </w:rPr>
              <w:t>出包方名称</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受托方</w:t>
            </w:r>
            <w:r>
              <w:rPr>
                <w:rFonts w:hint="default"/>
                <w:sz w:val="18"/>
                <w:szCs w:val="24"/>
              </w:rPr>
              <w:t>/</w:t>
            </w:r>
            <w:r>
              <w:rPr>
                <w:rFonts w:hint="eastAsia"/>
                <w:sz w:val="18"/>
                <w:szCs w:val="24"/>
              </w:rPr>
              <w:t>承包方名称</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出包资产类型</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出包起始日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委托</w:t>
            </w:r>
            <w:r>
              <w:rPr>
                <w:rFonts w:hint="default"/>
                <w:sz w:val="18"/>
                <w:szCs w:val="24"/>
              </w:rPr>
              <w:t>/</w:t>
            </w:r>
            <w:r>
              <w:rPr>
                <w:rFonts w:hint="eastAsia"/>
                <w:sz w:val="18"/>
                <w:szCs w:val="24"/>
              </w:rPr>
              <w:t>出包终止日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托管费</w:t>
            </w:r>
            <w:r>
              <w:rPr>
                <w:rFonts w:hint="default"/>
                <w:sz w:val="18"/>
                <w:szCs w:val="24"/>
              </w:rPr>
              <w:t>/</w:t>
            </w:r>
            <w:r>
              <w:rPr>
                <w:rFonts w:hint="eastAsia"/>
                <w:sz w:val="18"/>
                <w:szCs w:val="24"/>
              </w:rPr>
              <w:t>出包费定价依据</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本期确认的托管费</w:t>
            </w:r>
            <w:r>
              <w:rPr>
                <w:rFonts w:hint="default"/>
                <w:sz w:val="18"/>
                <w:szCs w:val="24"/>
              </w:rPr>
              <w:t>/</w:t>
            </w:r>
            <w:r>
              <w:rPr>
                <w:rFonts w:hint="eastAsia"/>
                <w:sz w:val="18"/>
                <w:szCs w:val="24"/>
              </w:rPr>
              <w:t>出包费</w:t>
            </w:r>
          </w:p>
        </w:tc>
      </w:tr>
    </w:tbl>
    <w:p>
      <w:pPr>
        <w:spacing w:beforeLines="0" w:afterLines="0"/>
        <w:jc w:val="left"/>
        <w:rPr>
          <w:rFonts w:hint="default"/>
          <w:sz w:val="18"/>
          <w:szCs w:val="24"/>
        </w:rPr>
      </w:pPr>
      <w:r>
        <w:rPr>
          <w:rFonts w:hint="eastAsia"/>
          <w:sz w:val="18"/>
          <w:szCs w:val="24"/>
        </w:rPr>
        <w:t>关联管理</w:t>
      </w:r>
      <w:r>
        <w:rPr>
          <w:rFonts w:hint="default"/>
          <w:sz w:val="18"/>
          <w:szCs w:val="24"/>
        </w:rPr>
        <w:t>/</w:t>
      </w:r>
      <w:r>
        <w:rPr>
          <w:rFonts w:hint="eastAsia"/>
          <w:sz w:val="18"/>
          <w:szCs w:val="24"/>
        </w:rPr>
        <w:t>出包情况说明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）关联租赁情况</w:t>
      </w:r>
    </w:p>
    <w:p>
      <w:pPr>
        <w:spacing w:beforeLines="0" w:afterLines="0"/>
        <w:jc w:val="left"/>
        <w:rPr>
          <w:rFonts w:hint="default"/>
          <w:sz w:val="18"/>
          <w:szCs w:val="24"/>
        </w:rPr>
      </w:pPr>
      <w:r>
        <w:rPr>
          <w:rFonts w:hint="eastAsia"/>
          <w:sz w:val="18"/>
          <w:szCs w:val="24"/>
        </w:rPr>
        <w:t>本公司作为出租方：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8"/>
        <w:gridCol w:w="2394"/>
        <w:gridCol w:w="2393"/>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承租方名称</w:t>
            </w:r>
          </w:p>
        </w:tc>
        <w:tc>
          <w:tcPr>
            <w:tcW w:w="23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租赁资产种类</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本期确认的租赁收入</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上期确认的租赁收入</w:t>
            </w:r>
          </w:p>
        </w:tc>
      </w:tr>
    </w:tbl>
    <w:p>
      <w:pPr>
        <w:spacing w:beforeLines="0" w:afterLines="0"/>
        <w:jc w:val="left"/>
        <w:rPr>
          <w:rFonts w:hint="default"/>
          <w:sz w:val="18"/>
          <w:szCs w:val="24"/>
        </w:rPr>
      </w:pPr>
      <w:r>
        <w:rPr>
          <w:rFonts w:hint="eastAsia"/>
          <w:sz w:val="18"/>
          <w:szCs w:val="24"/>
        </w:rPr>
        <w:t>本公司作为承租方：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出租方名称</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租赁资产种类</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本期确认的租赁费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上期确认的租赁费</w:t>
            </w:r>
          </w:p>
        </w:tc>
      </w:tr>
    </w:tbl>
    <w:p>
      <w:pPr>
        <w:spacing w:beforeLines="0" w:afterLines="0"/>
        <w:jc w:val="left"/>
        <w:rPr>
          <w:rFonts w:hint="default"/>
          <w:sz w:val="18"/>
          <w:szCs w:val="24"/>
        </w:rPr>
      </w:pPr>
      <w:r>
        <w:rPr>
          <w:rFonts w:hint="eastAsia"/>
          <w:sz w:val="18"/>
          <w:szCs w:val="24"/>
        </w:rPr>
        <w:t>关联租赁情况说明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）关联担保情况</w:t>
      </w:r>
    </w:p>
    <w:p>
      <w:pPr>
        <w:spacing w:beforeLines="0" w:afterLines="0"/>
        <w:jc w:val="left"/>
        <w:rPr>
          <w:rFonts w:hint="default"/>
          <w:sz w:val="18"/>
          <w:szCs w:val="24"/>
        </w:rPr>
      </w:pPr>
      <w:r>
        <w:rPr>
          <w:rFonts w:hint="eastAsia"/>
          <w:sz w:val="18"/>
          <w:szCs w:val="24"/>
        </w:rPr>
        <w:t>本公司作为担保方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被担保方</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担保是否已经履行完毕</w:t>
            </w:r>
          </w:p>
        </w:tc>
      </w:tr>
    </w:tbl>
    <w:p>
      <w:pPr>
        <w:spacing w:beforeLines="0" w:afterLines="0"/>
        <w:jc w:val="left"/>
        <w:rPr>
          <w:rFonts w:hint="default"/>
          <w:sz w:val="18"/>
          <w:szCs w:val="24"/>
        </w:rPr>
      </w:pPr>
      <w:r>
        <w:rPr>
          <w:rFonts w:hint="eastAsia"/>
          <w:sz w:val="18"/>
          <w:szCs w:val="24"/>
        </w:rPr>
        <w:t>本公司作为被担保方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担保方</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担保金额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担保是否已经履行完毕</w:t>
            </w:r>
          </w:p>
        </w:tc>
      </w:tr>
    </w:tbl>
    <w:p>
      <w:pPr>
        <w:spacing w:beforeLines="0" w:afterLines="0"/>
        <w:jc w:val="left"/>
        <w:rPr>
          <w:rFonts w:hint="default"/>
          <w:sz w:val="18"/>
          <w:szCs w:val="24"/>
        </w:rPr>
      </w:pPr>
      <w:r>
        <w:rPr>
          <w:rFonts w:hint="eastAsia"/>
          <w:sz w:val="18"/>
          <w:szCs w:val="24"/>
        </w:rPr>
        <w:t>关联担保情况说明</w:t>
      </w:r>
    </w:p>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）关联方资金拆借</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4"/>
        <w:gridCol w:w="1915"/>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拆借金额</w:t>
            </w: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起始日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到期日</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拆入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0"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拆出</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）关联方资产转让、债务重组情况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关联交易内容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7</w:t>
      </w:r>
      <w:r>
        <w:rPr>
          <w:rFonts w:hint="eastAsia"/>
          <w:sz w:val="21"/>
          <w:szCs w:val="24"/>
        </w:rPr>
        <w:t>）关键管理人员报酬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8"/>
        <w:gridCol w:w="3190"/>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8</w:t>
      </w:r>
      <w:r>
        <w:rPr>
          <w:rFonts w:hint="eastAsia"/>
          <w:sz w:val="21"/>
          <w:szCs w:val="24"/>
        </w:rPr>
        <w:t>）其他关联交易</w:t>
      </w:r>
    </w:p>
    <w:p>
      <w:pPr>
        <w:pStyle w:val="7"/>
        <w:spacing w:beforeLines="0" w:afterLines="0"/>
        <w:outlineLvl w:val="2"/>
        <w:rPr>
          <w:rFonts w:hint="default"/>
          <w:sz w:val="21"/>
          <w:szCs w:val="24"/>
        </w:rPr>
      </w:pPr>
      <w:r>
        <w:rPr>
          <w:rFonts w:hint="default"/>
          <w:sz w:val="21"/>
          <w:szCs w:val="24"/>
        </w:rPr>
        <w:t>6</w:t>
      </w:r>
      <w:r>
        <w:rPr>
          <w:rFonts w:hint="eastAsia"/>
          <w:sz w:val="21"/>
          <w:szCs w:val="24"/>
        </w:rPr>
        <w:t>、关联方应收应付款项</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）应收项目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5"/>
        <w:gridCol w:w="1595"/>
        <w:gridCol w:w="1594"/>
        <w:gridCol w:w="1594"/>
        <w:gridCol w:w="1594"/>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项目名称</w:t>
            </w:r>
          </w:p>
        </w:tc>
        <w:tc>
          <w:tcPr>
            <w:tcW w:w="159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）应付项目</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1"/>
        <w:gridCol w:w="2393"/>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项目名称</w:t>
            </w: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关联方</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期初账面余额</w:t>
            </w:r>
          </w:p>
        </w:tc>
      </w:tr>
    </w:tbl>
    <w:p>
      <w:pPr>
        <w:pStyle w:val="7"/>
        <w:spacing w:beforeLines="0" w:afterLines="0"/>
        <w:outlineLvl w:val="2"/>
        <w:rPr>
          <w:rFonts w:hint="default"/>
          <w:sz w:val="21"/>
          <w:szCs w:val="24"/>
        </w:rPr>
      </w:pPr>
      <w:r>
        <w:rPr>
          <w:rFonts w:hint="default"/>
          <w:sz w:val="21"/>
          <w:szCs w:val="24"/>
        </w:rPr>
        <w:t>7</w:t>
      </w:r>
      <w:r>
        <w:rPr>
          <w:rFonts w:hint="eastAsia"/>
          <w:sz w:val="21"/>
          <w:szCs w:val="24"/>
        </w:rPr>
        <w:t>、关联方承诺</w:t>
      </w:r>
    </w:p>
    <w:p>
      <w:pPr>
        <w:pStyle w:val="7"/>
        <w:spacing w:beforeLines="0" w:afterLines="0"/>
        <w:outlineLvl w:val="2"/>
        <w:rPr>
          <w:rFonts w:hint="default"/>
          <w:sz w:val="21"/>
          <w:szCs w:val="24"/>
        </w:rPr>
      </w:pPr>
      <w:r>
        <w:rPr>
          <w:rFonts w:hint="default"/>
          <w:sz w:val="21"/>
          <w:szCs w:val="24"/>
        </w:rPr>
        <w:t>8</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十三、股份支付</w:t>
      </w:r>
    </w:p>
    <w:p>
      <w:pPr>
        <w:pStyle w:val="7"/>
        <w:spacing w:beforeLines="0" w:afterLines="0"/>
        <w:outlineLvl w:val="2"/>
        <w:rPr>
          <w:rFonts w:hint="default"/>
          <w:sz w:val="21"/>
          <w:szCs w:val="24"/>
        </w:rPr>
      </w:pPr>
      <w:r>
        <w:rPr>
          <w:rFonts w:hint="default"/>
          <w:sz w:val="21"/>
          <w:szCs w:val="24"/>
        </w:rPr>
        <w:t>1</w:t>
      </w:r>
      <w:r>
        <w:rPr>
          <w:rFonts w:hint="eastAsia"/>
          <w:sz w:val="21"/>
          <w:szCs w:val="24"/>
        </w:rPr>
        <w:t>、股份支付总体情况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54"/>
        <w:gridCol w:w="4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公司本期授予的各项权益工具总额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公司本期行权的各项权益工具总额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462,608.00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公司本期失效的各项权益工具总额</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153,352.00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5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公司期末发行在外的股票期权行权价格的范围和合同剩余期限</w:t>
            </w:r>
          </w:p>
        </w:tc>
        <w:tc>
          <w:tcPr>
            <w:tcW w:w="41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10</w:t>
            </w:r>
            <w:r>
              <w:rPr>
                <w:rFonts w:hint="eastAsia"/>
                <w:sz w:val="18"/>
                <w:szCs w:val="24"/>
              </w:rPr>
              <w:t>月</w:t>
            </w:r>
            <w:r>
              <w:rPr>
                <w:rFonts w:hint="default"/>
                <w:sz w:val="18"/>
                <w:szCs w:val="24"/>
              </w:rPr>
              <w:t>28</w:t>
            </w:r>
            <w:r>
              <w:rPr>
                <w:rFonts w:hint="eastAsia"/>
                <w:sz w:val="18"/>
                <w:szCs w:val="24"/>
              </w:rPr>
              <w:t>日授予的限制性股票价格为</w:t>
            </w:r>
            <w:r>
              <w:rPr>
                <w:rFonts w:hint="default"/>
                <w:sz w:val="18"/>
                <w:szCs w:val="24"/>
              </w:rPr>
              <w:t>5.00</w:t>
            </w:r>
            <w:r>
              <w:rPr>
                <w:rFonts w:hint="eastAsia"/>
                <w:sz w:val="18"/>
                <w:szCs w:val="24"/>
              </w:rPr>
              <w:t>元</w:t>
            </w:r>
            <w:r>
              <w:rPr>
                <w:rFonts w:hint="default"/>
                <w:sz w:val="18"/>
                <w:szCs w:val="24"/>
              </w:rPr>
              <w:t>/</w:t>
            </w:r>
            <w:r>
              <w:rPr>
                <w:rFonts w:hint="eastAsia"/>
                <w:sz w:val="18"/>
                <w:szCs w:val="24"/>
              </w:rPr>
              <w:t>股；限制性股票的限售期分别为自授予登记完成之日起</w:t>
            </w:r>
            <w:r>
              <w:rPr>
                <w:rFonts w:hint="default"/>
                <w:sz w:val="18"/>
                <w:szCs w:val="24"/>
              </w:rPr>
              <w:t>12</w:t>
            </w:r>
            <w:r>
              <w:rPr>
                <w:rFonts w:hint="eastAsia"/>
                <w:sz w:val="18"/>
                <w:szCs w:val="24"/>
              </w:rPr>
              <w:t>个月、</w:t>
            </w:r>
            <w:r>
              <w:rPr>
                <w:rFonts w:hint="default"/>
                <w:sz w:val="18"/>
                <w:szCs w:val="24"/>
              </w:rPr>
              <w:t>24</w:t>
            </w:r>
            <w:r>
              <w:rPr>
                <w:rFonts w:hint="eastAsia"/>
                <w:sz w:val="18"/>
                <w:szCs w:val="24"/>
              </w:rPr>
              <w:t>个月、</w:t>
            </w:r>
            <w:r>
              <w:rPr>
                <w:rFonts w:hint="default"/>
                <w:sz w:val="18"/>
                <w:szCs w:val="24"/>
              </w:rPr>
              <w:t>36</w:t>
            </w:r>
            <w:r>
              <w:rPr>
                <w:rFonts w:hint="eastAsia"/>
                <w:sz w:val="18"/>
                <w:szCs w:val="24"/>
              </w:rPr>
              <w:t>个月分别解锁</w:t>
            </w:r>
            <w:r>
              <w:rPr>
                <w:rFonts w:hint="default"/>
                <w:sz w:val="18"/>
                <w:szCs w:val="24"/>
              </w:rPr>
              <w:t>30%</w:t>
            </w:r>
            <w:r>
              <w:rPr>
                <w:rFonts w:hint="eastAsia"/>
                <w:sz w:val="18"/>
                <w:szCs w:val="24"/>
              </w:rPr>
              <w:t>，</w:t>
            </w:r>
            <w:r>
              <w:rPr>
                <w:rFonts w:hint="default"/>
                <w:sz w:val="18"/>
                <w:szCs w:val="24"/>
              </w:rPr>
              <w:t>30%</w:t>
            </w:r>
            <w:r>
              <w:rPr>
                <w:rFonts w:hint="eastAsia"/>
                <w:sz w:val="18"/>
                <w:szCs w:val="24"/>
              </w:rPr>
              <w:t>，</w:t>
            </w:r>
            <w:r>
              <w:rPr>
                <w:rFonts w:hint="default"/>
                <w:sz w:val="18"/>
                <w:szCs w:val="24"/>
              </w:rPr>
              <w:t>40%</w:t>
            </w:r>
            <w:r>
              <w:rPr>
                <w:rFonts w:hint="eastAsia"/>
                <w:sz w:val="18"/>
                <w:szCs w:val="24"/>
              </w:rPr>
              <w:t>。</w:t>
            </w:r>
          </w:p>
        </w:tc>
      </w:tr>
    </w:tbl>
    <w:p>
      <w:pPr>
        <w:spacing w:beforeLines="0" w:afterLines="0"/>
        <w:jc w:val="left"/>
        <w:rPr>
          <w:rFonts w:hint="default"/>
          <w:sz w:val="18"/>
          <w:szCs w:val="24"/>
        </w:rPr>
      </w:pPr>
      <w:r>
        <w:rPr>
          <w:rFonts w:hint="eastAsia"/>
          <w:sz w:val="18"/>
          <w:szCs w:val="24"/>
        </w:rPr>
        <w:t>其他说明</w:t>
      </w:r>
    </w:p>
    <w:p>
      <w:pPr>
        <w:autoSpaceDE w:val="0"/>
        <w:autoSpaceDN w:val="0"/>
        <w:adjustRightInd w:val="0"/>
        <w:spacing w:before="150" w:beforeLines="0" w:after="0" w:afterLines="0"/>
        <w:ind w:firstLine="436"/>
        <w:rPr>
          <w:rFonts w:hint="eastAsia" w:ascii="宋体"/>
          <w:sz w:val="21"/>
          <w:szCs w:val="24"/>
          <w:lang w:val="zh-CN"/>
        </w:rPr>
      </w:pPr>
      <w:r>
        <w:rPr>
          <w:rFonts w:hint="eastAsia" w:ascii="宋体"/>
          <w:sz w:val="21"/>
          <w:szCs w:val="24"/>
          <w:lang w:val="zh-CN"/>
        </w:rPr>
        <w:t>注： 2021年9月28日，公司分别召开了第四届董事会第五次会议，审议通过了《关于&lt;公司2021年限制性股票激励计划（草案）及其摘要&gt;的议案》，2021年10月27日，公司召开第四届董事会第六次会议审议通过了《关于调整公司2021年限制性股票激励计划相关事项的议案》、《关于向激励对象授予限制性股票的议案》，向符合条件的80名激励对象授予272.00万股限制性股票，以2021年10月28日为授予日，授予价格为5.00元/股。</w:t>
      </w:r>
    </w:p>
    <w:p>
      <w:pPr>
        <w:pStyle w:val="7"/>
        <w:spacing w:beforeLines="0" w:afterLines="0"/>
        <w:outlineLvl w:val="2"/>
        <w:rPr>
          <w:rFonts w:hint="default"/>
          <w:sz w:val="21"/>
          <w:szCs w:val="24"/>
        </w:rPr>
      </w:pPr>
      <w:r>
        <w:rPr>
          <w:rFonts w:hint="default"/>
          <w:sz w:val="21"/>
          <w:szCs w:val="24"/>
        </w:rPr>
        <w:t>2</w:t>
      </w:r>
      <w:r>
        <w:rPr>
          <w:rFonts w:hint="eastAsia"/>
          <w:sz w:val="21"/>
          <w:szCs w:val="24"/>
        </w:rPr>
        <w:t>、以权益结算的股份支付情况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授予日权益工具公允价值的确定方法</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授予日股票市场价格与授予价格之差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可行权权益工具数量的确定依据</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在职激励对象对应的权益工具、</w:t>
            </w:r>
            <w:r>
              <w:rPr>
                <w:rFonts w:hint="default"/>
                <w:sz w:val="18"/>
                <w:szCs w:val="24"/>
              </w:rPr>
              <w:t>2021</w:t>
            </w:r>
            <w:r>
              <w:rPr>
                <w:rFonts w:hint="eastAsia"/>
                <w:sz w:val="18"/>
                <w:szCs w:val="24"/>
              </w:rPr>
              <w:t>年度公司业绩及未来年度公司业绩的预测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以权益结算的股份支付计入资本公积的累计金额</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1,055,133.34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本期以权益结算的股份支付确认的费用总额</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1,220,945.14</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、以现金结算的股份支付情况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4</w:t>
      </w:r>
      <w:r>
        <w:rPr>
          <w:rFonts w:hint="eastAsia"/>
          <w:sz w:val="21"/>
          <w:szCs w:val="24"/>
        </w:rPr>
        <w:t>、股份支付的修改、终止情况</w:t>
      </w:r>
    </w:p>
    <w:p>
      <w:pPr>
        <w:pStyle w:val="7"/>
        <w:spacing w:beforeLines="0" w:afterLines="0"/>
        <w:outlineLvl w:val="2"/>
        <w:rPr>
          <w:rFonts w:hint="default"/>
          <w:sz w:val="21"/>
          <w:szCs w:val="24"/>
        </w:rPr>
      </w:pPr>
      <w:r>
        <w:rPr>
          <w:rFonts w:hint="default"/>
          <w:sz w:val="21"/>
          <w:szCs w:val="24"/>
        </w:rPr>
        <w:t>5</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十四、承诺及或有事项</w:t>
      </w:r>
    </w:p>
    <w:p>
      <w:pPr>
        <w:pStyle w:val="7"/>
        <w:spacing w:beforeLines="0" w:afterLines="0"/>
        <w:outlineLvl w:val="2"/>
        <w:rPr>
          <w:rFonts w:hint="default"/>
          <w:sz w:val="21"/>
          <w:szCs w:val="24"/>
        </w:rPr>
      </w:pPr>
      <w:r>
        <w:rPr>
          <w:rFonts w:hint="default"/>
          <w:sz w:val="21"/>
          <w:szCs w:val="24"/>
        </w:rPr>
        <w:t>1</w:t>
      </w:r>
      <w:r>
        <w:rPr>
          <w:rFonts w:hint="eastAsia"/>
          <w:sz w:val="21"/>
          <w:szCs w:val="24"/>
        </w:rPr>
        <w:t>、重要承诺事项</w:t>
      </w:r>
    </w:p>
    <w:p>
      <w:pPr>
        <w:spacing w:beforeLines="0" w:afterLines="0"/>
        <w:jc w:val="left"/>
        <w:rPr>
          <w:rFonts w:hint="default"/>
          <w:sz w:val="18"/>
          <w:szCs w:val="24"/>
        </w:rPr>
      </w:pPr>
      <w:r>
        <w:rPr>
          <w:rFonts w:hint="eastAsia"/>
          <w:sz w:val="18"/>
          <w:szCs w:val="24"/>
        </w:rPr>
        <w:t>资产负债表日存在的重要承诺</w:t>
      </w:r>
    </w:p>
    <w:p>
      <w:pPr>
        <w:pStyle w:val="7"/>
        <w:spacing w:beforeLines="0" w:afterLines="0"/>
        <w:outlineLvl w:val="2"/>
        <w:rPr>
          <w:rFonts w:hint="default"/>
          <w:sz w:val="21"/>
          <w:szCs w:val="24"/>
        </w:rPr>
      </w:pPr>
      <w:r>
        <w:rPr>
          <w:rFonts w:hint="default"/>
          <w:sz w:val="21"/>
          <w:szCs w:val="24"/>
        </w:rPr>
        <w:t>2</w:t>
      </w:r>
      <w:r>
        <w:rPr>
          <w:rFonts w:hint="eastAsia"/>
          <w:sz w:val="21"/>
          <w:szCs w:val="24"/>
        </w:rPr>
        <w:t>、或有事项</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）资产负债表日存在的重要或有事项</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）公司没有需要披露的重要或有事项，也应予以说明</w:t>
      </w:r>
    </w:p>
    <w:p>
      <w:pPr>
        <w:spacing w:beforeLines="0" w:afterLines="0"/>
        <w:jc w:val="left"/>
        <w:rPr>
          <w:rFonts w:hint="default"/>
          <w:sz w:val="18"/>
          <w:szCs w:val="24"/>
        </w:rPr>
      </w:pPr>
      <w:r>
        <w:rPr>
          <w:rFonts w:hint="eastAsia"/>
          <w:sz w:val="18"/>
          <w:szCs w:val="24"/>
        </w:rPr>
        <w:t>公司不存在需要披露的重要或有事项。</w:t>
      </w:r>
    </w:p>
    <w:p>
      <w:pPr>
        <w:pStyle w:val="7"/>
        <w:spacing w:beforeLines="0" w:afterLines="0"/>
        <w:outlineLvl w:val="2"/>
        <w:rPr>
          <w:rFonts w:hint="default"/>
          <w:sz w:val="21"/>
          <w:szCs w:val="24"/>
        </w:rPr>
      </w:pPr>
      <w:r>
        <w:rPr>
          <w:rFonts w:hint="default"/>
          <w:sz w:val="21"/>
          <w:szCs w:val="24"/>
        </w:rPr>
        <w:t>3</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十五、资产负债表日后事项</w:t>
      </w:r>
    </w:p>
    <w:p>
      <w:pPr>
        <w:pStyle w:val="7"/>
        <w:spacing w:beforeLines="0" w:afterLines="0"/>
        <w:outlineLvl w:val="2"/>
        <w:rPr>
          <w:rFonts w:hint="default"/>
          <w:sz w:val="21"/>
          <w:szCs w:val="24"/>
        </w:rPr>
      </w:pPr>
      <w:r>
        <w:rPr>
          <w:rFonts w:hint="default"/>
          <w:sz w:val="21"/>
          <w:szCs w:val="24"/>
        </w:rPr>
        <w:t>1</w:t>
      </w:r>
      <w:r>
        <w:rPr>
          <w:rFonts w:hint="eastAsia"/>
          <w:sz w:val="21"/>
          <w:szCs w:val="24"/>
        </w:rPr>
        <w:t>、重要的非调整事项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3"/>
        <w:gridCol w:w="2295"/>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内容</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对财务状况和经营成果的影响数</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无法估计影响数的原因</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、利润分配情况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拟分配的利润或股利</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经审议批准宣告发放的利润或股利</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0.35</w:t>
            </w:r>
          </w:p>
        </w:tc>
      </w:tr>
    </w:tbl>
    <w:p>
      <w:pPr>
        <w:pStyle w:val="7"/>
        <w:spacing w:beforeLines="0" w:afterLines="0"/>
        <w:outlineLvl w:val="2"/>
        <w:rPr>
          <w:rFonts w:hint="default"/>
          <w:sz w:val="21"/>
          <w:szCs w:val="24"/>
        </w:rPr>
      </w:pPr>
      <w:r>
        <w:rPr>
          <w:rFonts w:hint="default"/>
          <w:sz w:val="21"/>
          <w:szCs w:val="24"/>
        </w:rPr>
        <w:t>3</w:t>
      </w:r>
      <w:r>
        <w:rPr>
          <w:rFonts w:hint="eastAsia"/>
          <w:sz w:val="21"/>
          <w:szCs w:val="24"/>
        </w:rPr>
        <w:t>、销售退回</w:t>
      </w:r>
    </w:p>
    <w:p>
      <w:pPr>
        <w:pStyle w:val="7"/>
        <w:spacing w:beforeLines="0" w:afterLines="0"/>
        <w:outlineLvl w:val="2"/>
        <w:rPr>
          <w:rFonts w:hint="default"/>
          <w:sz w:val="21"/>
          <w:szCs w:val="24"/>
        </w:rPr>
      </w:pPr>
      <w:r>
        <w:rPr>
          <w:rFonts w:hint="default"/>
          <w:sz w:val="21"/>
          <w:szCs w:val="24"/>
        </w:rPr>
        <w:t>4</w:t>
      </w:r>
      <w:r>
        <w:rPr>
          <w:rFonts w:hint="eastAsia"/>
          <w:sz w:val="21"/>
          <w:szCs w:val="24"/>
        </w:rPr>
        <w:t>、其他资产负债表日后事项说明</w:t>
      </w:r>
    </w:p>
    <w:p>
      <w:pPr>
        <w:autoSpaceDE w:val="0"/>
        <w:autoSpaceDN w:val="0"/>
        <w:adjustRightInd w:val="0"/>
        <w:spacing w:before="0" w:beforeLines="0" w:after="0" w:afterLines="0"/>
        <w:ind w:firstLine="436"/>
        <w:rPr>
          <w:rFonts w:hint="eastAsia" w:ascii="宋体"/>
          <w:sz w:val="21"/>
          <w:szCs w:val="24"/>
          <w:lang w:val="zh-CN"/>
        </w:rPr>
      </w:pPr>
      <w:r>
        <w:rPr>
          <w:rFonts w:hint="eastAsia" w:ascii="宋体"/>
          <w:sz w:val="21"/>
          <w:szCs w:val="24"/>
          <w:lang w:val="zh-CN"/>
        </w:rPr>
        <w:t>公司2021年度利润分配预案为：以2021年12月31日公司总股本169,032,648.00股扣除存放于公司回购专用证券账户的427,626.00股，即以168,605,022.00股为基数，向全体股东每10股派息3.50元（含税）,共派发现金红利59,011,757.70元，本次实际发放总额将以本公司实施分配方案时股权登记日有权参与总股数为准计算。本次分配不送红股、不以资本公积金转增股本，剩余未分配利润结转以后年度分配。本次利润分配预案尚需公司2021年度股东大会审议。</w:t>
      </w:r>
    </w:p>
    <w:p>
      <w:pPr>
        <w:pStyle w:val="6"/>
        <w:spacing w:beforeLines="0" w:afterLines="0"/>
        <w:outlineLvl w:val="1"/>
        <w:rPr>
          <w:rFonts w:hint="default"/>
          <w:sz w:val="24"/>
          <w:szCs w:val="24"/>
        </w:rPr>
      </w:pPr>
      <w:r>
        <w:rPr>
          <w:rFonts w:hint="eastAsia"/>
          <w:sz w:val="24"/>
          <w:szCs w:val="24"/>
        </w:rPr>
        <w:t>十六、其他重要事项</w:t>
      </w:r>
    </w:p>
    <w:p>
      <w:pPr>
        <w:pStyle w:val="7"/>
        <w:spacing w:beforeLines="0" w:afterLines="0"/>
        <w:outlineLvl w:val="2"/>
        <w:rPr>
          <w:rFonts w:hint="default"/>
          <w:sz w:val="21"/>
          <w:szCs w:val="24"/>
        </w:rPr>
      </w:pPr>
      <w:r>
        <w:rPr>
          <w:rFonts w:hint="default"/>
          <w:sz w:val="21"/>
          <w:szCs w:val="24"/>
        </w:rPr>
        <w:t>1</w:t>
      </w:r>
      <w:r>
        <w:rPr>
          <w:rFonts w:hint="eastAsia"/>
          <w:sz w:val="21"/>
          <w:szCs w:val="24"/>
        </w:rPr>
        <w:t>、前期会计差错更正</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）追溯重述法</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3"/>
        <w:gridCol w:w="2295"/>
        <w:gridCol w:w="2390"/>
        <w:gridCol w:w="2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9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会计差错更正的内容</w:t>
            </w:r>
          </w:p>
        </w:tc>
        <w:tc>
          <w:tcPr>
            <w:tcW w:w="229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处理程序</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受影响的各个比较期间报表项目名称</w:t>
            </w:r>
          </w:p>
        </w:tc>
        <w:tc>
          <w:tcPr>
            <w:tcW w:w="23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累积影响数</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）未来适用法</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会计差错更正的内容</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批准程序</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采用未来适用法的原因</w:t>
            </w:r>
          </w:p>
        </w:tc>
      </w:tr>
    </w:tbl>
    <w:p>
      <w:pPr>
        <w:pStyle w:val="7"/>
        <w:spacing w:beforeLines="0" w:afterLines="0"/>
        <w:outlineLvl w:val="2"/>
        <w:rPr>
          <w:rFonts w:hint="default"/>
          <w:sz w:val="21"/>
          <w:szCs w:val="24"/>
        </w:rPr>
      </w:pPr>
      <w:r>
        <w:rPr>
          <w:rFonts w:hint="default"/>
          <w:sz w:val="21"/>
          <w:szCs w:val="24"/>
        </w:rPr>
        <w:t>2</w:t>
      </w:r>
      <w:r>
        <w:rPr>
          <w:rFonts w:hint="eastAsia"/>
          <w:sz w:val="21"/>
          <w:szCs w:val="24"/>
        </w:rPr>
        <w:t>、债务重组</w:t>
      </w:r>
    </w:p>
    <w:p>
      <w:pPr>
        <w:pStyle w:val="7"/>
        <w:spacing w:beforeLines="0" w:afterLines="0"/>
        <w:outlineLvl w:val="2"/>
        <w:rPr>
          <w:rFonts w:hint="default"/>
          <w:sz w:val="21"/>
          <w:szCs w:val="24"/>
        </w:rPr>
      </w:pPr>
      <w:r>
        <w:rPr>
          <w:rFonts w:hint="default"/>
          <w:sz w:val="21"/>
          <w:szCs w:val="24"/>
        </w:rPr>
        <w:t>3</w:t>
      </w:r>
      <w:r>
        <w:rPr>
          <w:rFonts w:hint="eastAsia"/>
          <w:sz w:val="21"/>
          <w:szCs w:val="24"/>
        </w:rPr>
        <w:t>、资产置换</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）非货币性资产交换</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）其他资产置换</w:t>
      </w:r>
    </w:p>
    <w:p>
      <w:pPr>
        <w:pStyle w:val="7"/>
        <w:spacing w:beforeLines="0" w:afterLines="0"/>
        <w:outlineLvl w:val="2"/>
        <w:rPr>
          <w:rFonts w:hint="default"/>
          <w:sz w:val="21"/>
          <w:szCs w:val="24"/>
        </w:rPr>
      </w:pPr>
      <w:r>
        <w:rPr>
          <w:rFonts w:hint="default"/>
          <w:sz w:val="21"/>
          <w:szCs w:val="24"/>
        </w:rPr>
        <w:t>4</w:t>
      </w:r>
      <w:r>
        <w:rPr>
          <w:rFonts w:hint="eastAsia"/>
          <w:sz w:val="21"/>
          <w:szCs w:val="24"/>
        </w:rPr>
        <w:t>、年金计划</w:t>
      </w:r>
    </w:p>
    <w:p>
      <w:pPr>
        <w:pStyle w:val="7"/>
        <w:spacing w:beforeLines="0" w:afterLines="0"/>
        <w:outlineLvl w:val="2"/>
        <w:rPr>
          <w:rFonts w:hint="default"/>
          <w:sz w:val="21"/>
          <w:szCs w:val="24"/>
        </w:rPr>
      </w:pPr>
      <w:r>
        <w:rPr>
          <w:rFonts w:hint="default"/>
          <w:sz w:val="21"/>
          <w:szCs w:val="24"/>
        </w:rPr>
        <w:t>5</w:t>
      </w:r>
      <w:r>
        <w:rPr>
          <w:rFonts w:hint="eastAsia"/>
          <w:sz w:val="21"/>
          <w:szCs w:val="24"/>
        </w:rPr>
        <w:t>、终止经营</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费用</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利润总额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所得税费用</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净利润</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归属于母公司所有者的终止经营利润</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6</w:t>
      </w:r>
      <w:r>
        <w:rPr>
          <w:rFonts w:hint="eastAsia"/>
          <w:sz w:val="21"/>
          <w:szCs w:val="24"/>
        </w:rPr>
        <w:t>、分部信息</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）报告分部的确定依据与会计政策</w:t>
      </w:r>
    </w:p>
    <w:p>
      <w:pPr>
        <w:autoSpaceDE w:val="0"/>
        <w:autoSpaceDN w:val="0"/>
        <w:adjustRightInd w:val="0"/>
        <w:spacing w:before="0" w:beforeLines="0" w:after="0" w:afterLines="0"/>
        <w:jc w:val="left"/>
        <w:rPr>
          <w:rFonts w:hint="eastAsia" w:ascii="宋体"/>
          <w:sz w:val="21"/>
          <w:szCs w:val="24"/>
          <w:lang w:val="zh-CN"/>
        </w:rPr>
      </w:pPr>
      <w:r>
        <w:rPr>
          <w:rFonts w:hint="eastAsia" w:ascii="宋体"/>
          <w:sz w:val="21"/>
          <w:szCs w:val="24"/>
          <w:lang w:val="zh-CN"/>
        </w:rPr>
        <w:t>公司为阀门及相关产品制造企业，主要产品为阀门、过滤器、毛坯铸件等，生产经营主体主要在国内，无分部报告。</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）报告分部的财务信息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分部间抵销</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）公司无报告分部的，或者不能披露各报告分部的资产总额和负债总额的，应说明原因</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）其他说明</w:t>
      </w:r>
    </w:p>
    <w:p>
      <w:pPr>
        <w:pStyle w:val="7"/>
        <w:spacing w:beforeLines="0" w:afterLines="0"/>
        <w:outlineLvl w:val="2"/>
        <w:rPr>
          <w:rFonts w:hint="default"/>
          <w:sz w:val="21"/>
          <w:szCs w:val="24"/>
        </w:rPr>
      </w:pPr>
      <w:r>
        <w:rPr>
          <w:rFonts w:hint="default"/>
          <w:sz w:val="21"/>
          <w:szCs w:val="24"/>
        </w:rPr>
        <w:t>7</w:t>
      </w:r>
      <w:r>
        <w:rPr>
          <w:rFonts w:hint="eastAsia"/>
          <w:sz w:val="21"/>
          <w:szCs w:val="24"/>
        </w:rPr>
        <w:t>、其他对投资者决策有影响的重要交易和事项</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公司无其他对投资者决策有重大影响的重要交易和事项。</w:t>
      </w:r>
    </w:p>
    <w:p>
      <w:pPr>
        <w:pStyle w:val="7"/>
        <w:spacing w:beforeLines="0" w:afterLines="0"/>
        <w:outlineLvl w:val="2"/>
        <w:rPr>
          <w:rFonts w:hint="default"/>
          <w:sz w:val="21"/>
          <w:szCs w:val="24"/>
        </w:rPr>
      </w:pPr>
      <w:r>
        <w:rPr>
          <w:rFonts w:hint="default"/>
          <w:sz w:val="21"/>
          <w:szCs w:val="24"/>
        </w:rPr>
        <w:t>8</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十七、母公司财务报表主要项目注释</w:t>
      </w:r>
    </w:p>
    <w:p>
      <w:pPr>
        <w:pStyle w:val="7"/>
        <w:spacing w:beforeLines="0" w:afterLines="0"/>
        <w:outlineLvl w:val="2"/>
        <w:rPr>
          <w:rFonts w:hint="default"/>
          <w:sz w:val="21"/>
          <w:szCs w:val="24"/>
        </w:rPr>
      </w:pPr>
      <w:r>
        <w:rPr>
          <w:rFonts w:hint="default"/>
          <w:sz w:val="21"/>
          <w:szCs w:val="24"/>
        </w:rPr>
        <w:t>1</w:t>
      </w:r>
      <w:r>
        <w:rPr>
          <w:rFonts w:hint="eastAsia"/>
          <w:sz w:val="21"/>
          <w:szCs w:val="24"/>
        </w:rPr>
        <w:t>、应收账款</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）应收账款分类披露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763"/>
        <w:gridCol w:w="762"/>
        <w:gridCol w:w="762"/>
        <w:gridCol w:w="763"/>
        <w:gridCol w:w="789"/>
        <w:gridCol w:w="776"/>
        <w:gridCol w:w="797"/>
        <w:gridCol w:w="798"/>
        <w:gridCol w:w="790"/>
        <w:gridCol w:w="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3839"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093" w:type="dxa"/>
            <w:gridSpan w:val="5"/>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25"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78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573"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588"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93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78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比例</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9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按组合计提坏账准备的应收账款</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72,388,029.64</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8,323,192.26</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11.50%</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64,064,837.38</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44,128,372.70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5,418,657.39</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12.28%</w:t>
            </w: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38,709,715.31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其中：</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9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72,388,029.64</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6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8,323,192.26</w:t>
            </w:r>
          </w:p>
        </w:tc>
        <w:tc>
          <w:tcPr>
            <w:tcW w:w="76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11.50%</w:t>
            </w:r>
          </w:p>
        </w:tc>
        <w:tc>
          <w:tcPr>
            <w:tcW w:w="78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64,064,837.38</w:t>
            </w:r>
          </w:p>
        </w:tc>
        <w:tc>
          <w:tcPr>
            <w:tcW w:w="77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44,128,372.70</w:t>
            </w: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100.00%</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5,418,657.39</w:t>
            </w:r>
          </w:p>
        </w:tc>
        <w:tc>
          <w:tcPr>
            <w:tcW w:w="7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12.28%</w:t>
            </w:r>
          </w:p>
        </w:tc>
        <w:tc>
          <w:tcPr>
            <w:tcW w:w="93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38,709,715.31</w:t>
            </w:r>
          </w:p>
        </w:tc>
      </w:tr>
    </w:tbl>
    <w:p>
      <w:pPr>
        <w:spacing w:beforeLines="0" w:afterLines="0"/>
        <w:jc w:val="left"/>
        <w:rPr>
          <w:rFonts w:hint="default"/>
          <w:sz w:val="18"/>
          <w:szCs w:val="24"/>
        </w:rPr>
      </w:pPr>
      <w:r>
        <w:rPr>
          <w:rFonts w:hint="eastAsia"/>
          <w:sz w:val="18"/>
          <w:szCs w:val="24"/>
        </w:rPr>
        <w:t>按单项计提坏账准备：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3"/>
        <w:gridCol w:w="1915"/>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657"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计提理由</w:t>
            </w:r>
          </w:p>
        </w:tc>
      </w:tr>
    </w:tbl>
    <w:p>
      <w:pPr>
        <w:spacing w:beforeLines="0" w:afterLines="0"/>
        <w:jc w:val="left"/>
        <w:rPr>
          <w:rFonts w:hint="default"/>
          <w:sz w:val="18"/>
          <w:szCs w:val="24"/>
        </w:rPr>
      </w:pPr>
      <w:r>
        <w:rPr>
          <w:rFonts w:hint="eastAsia"/>
          <w:sz w:val="18"/>
          <w:szCs w:val="24"/>
        </w:rPr>
        <w:t>按组合计提坏账准备：</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名称</w:t>
            </w:r>
          </w:p>
        </w:tc>
        <w:tc>
          <w:tcPr>
            <w:tcW w:w="7176"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计提比例</w:t>
            </w:r>
          </w:p>
        </w:tc>
      </w:tr>
    </w:tbl>
    <w:p>
      <w:pPr>
        <w:spacing w:beforeLines="0" w:afterLines="0"/>
        <w:jc w:val="left"/>
        <w:rPr>
          <w:rFonts w:hint="default"/>
          <w:sz w:val="18"/>
          <w:szCs w:val="24"/>
        </w:rPr>
      </w:pPr>
      <w:r>
        <w:rPr>
          <w:rFonts w:hint="eastAsia"/>
          <w:sz w:val="18"/>
          <w:szCs w:val="24"/>
        </w:rPr>
        <w:t>确定该组合依据的说明：</w:t>
      </w:r>
    </w:p>
    <w:p>
      <w:pPr>
        <w:spacing w:beforeLines="0" w:afterLines="0"/>
        <w:jc w:val="left"/>
        <w:rPr>
          <w:rFonts w:hint="default"/>
          <w:sz w:val="18"/>
          <w:szCs w:val="24"/>
        </w:rPr>
      </w:pPr>
      <w:r>
        <w:rPr>
          <w:rFonts w:hint="eastAsia"/>
          <w:sz w:val="18"/>
          <w:szCs w:val="24"/>
        </w:rPr>
        <w:t>如是按照预期信用损失一般模型计提应收账款坏账准备，请参照其他应收款的披露方式披露坏账准备的相关信息：</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按账龄披露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62,010,925.92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2,607,593.29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2,181,321.94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5,588,188.49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3</w:t>
            </w:r>
            <w:r>
              <w:rPr>
                <w:rFonts w:hint="eastAsia"/>
                <w:sz w:val="18"/>
                <w:szCs w:val="24"/>
              </w:rPr>
              <w:t>至</w:t>
            </w:r>
            <w:r>
              <w:rPr>
                <w:rFonts w:hint="default"/>
                <w:sz w:val="18"/>
                <w:szCs w:val="24"/>
              </w:rPr>
              <w:t>4</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2,145,631.07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1,039,414.53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2,403,142.89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72,388,029.64</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9"/>
        <w:gridCol w:w="1367"/>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46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3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3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按单项计提坏账准备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按组合计提坏账准备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5,418,657.39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2,904,534.87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8,323,192.26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5,418,657.39</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2,904,534.87</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8,323,192.26</w:t>
            </w:r>
          </w:p>
        </w:tc>
      </w:tr>
    </w:tbl>
    <w:p>
      <w:pPr>
        <w:spacing w:beforeLines="0" w:afterLines="0"/>
        <w:jc w:val="left"/>
        <w:rPr>
          <w:rFonts w:hint="default"/>
          <w:sz w:val="18"/>
          <w:szCs w:val="24"/>
        </w:rPr>
      </w:pPr>
      <w:r>
        <w:rPr>
          <w:rFonts w:hint="eastAsia"/>
          <w:sz w:val="18"/>
          <w:szCs w:val="24"/>
        </w:rPr>
        <w:t>其中本期坏账准备收回或转回金额重要的：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68"/>
        <w:gridCol w:w="3100"/>
        <w:gridCol w:w="3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收回或转回金额</w:t>
            </w:r>
          </w:p>
        </w:tc>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收回方式</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）本期实际核销的应收账款情况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83"/>
        <w:gridCol w:w="4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8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58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其中重要的应收账款核销情况：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应收账款性质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应收账款核销说明：</w:t>
      </w:r>
    </w:p>
    <w:p>
      <w:pPr>
        <w:pStyle w:val="7"/>
        <w:spacing w:beforeLines="0" w:afterLines="0"/>
        <w:outlineLvl w:val="3"/>
        <w:rPr>
          <w:rFonts w:hint="default"/>
          <w:sz w:val="21"/>
          <w:szCs w:val="24"/>
        </w:rPr>
      </w:pPr>
      <w:r>
        <w:rPr>
          <w:rFonts w:hint="eastAsia"/>
          <w:sz w:val="21"/>
          <w:szCs w:val="24"/>
        </w:rPr>
        <w:t>（</w:t>
      </w:r>
      <w:r>
        <w:rPr>
          <w:rFonts w:hint="default"/>
          <w:sz w:val="21"/>
          <w:szCs w:val="24"/>
        </w:rPr>
        <w:t>4</w:t>
      </w:r>
      <w:r>
        <w:rPr>
          <w:rFonts w:hint="eastAsia"/>
          <w:sz w:val="21"/>
          <w:szCs w:val="24"/>
        </w:rPr>
        <w:t>）按欠款方归集的期末余额前五名的应收账款情况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92"/>
        <w:gridCol w:w="2392"/>
        <w:gridCol w:w="2392"/>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应收账款期末余额</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占应收账款期末余额合计数的比例</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9,952,541.72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13.75%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497,627.09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6,207,924.47</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8.58%</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310,396.22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4,933,895.12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6.82%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246,694.76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客户四</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2,619,117.22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3.62%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130,955.86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客户五</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2,137,135.21</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2.95%</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106,856.76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25,850,613.74</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35.72%</w:t>
            </w:r>
          </w:p>
        </w:tc>
        <w:tc>
          <w:tcPr>
            <w:tcW w:w="239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5</w:t>
      </w:r>
      <w:r>
        <w:rPr>
          <w:rFonts w:hint="eastAsia"/>
          <w:sz w:val="21"/>
          <w:szCs w:val="24"/>
        </w:rPr>
        <w:t>）转移应收账款且继续涉入形成的资产、负债金额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6</w:t>
      </w:r>
      <w:r>
        <w:rPr>
          <w:rFonts w:hint="eastAsia"/>
          <w:sz w:val="21"/>
          <w:szCs w:val="24"/>
        </w:rPr>
        <w:t>）因金融资产转移而终止确认的应收账款</w:t>
      </w:r>
    </w:p>
    <w:p>
      <w:pPr>
        <w:pStyle w:val="7"/>
        <w:spacing w:beforeLines="0" w:afterLines="0"/>
        <w:outlineLvl w:val="2"/>
        <w:rPr>
          <w:rFonts w:hint="default"/>
          <w:sz w:val="21"/>
          <w:szCs w:val="24"/>
        </w:rPr>
      </w:pPr>
      <w:r>
        <w:rPr>
          <w:rFonts w:hint="default"/>
          <w:sz w:val="21"/>
          <w:szCs w:val="24"/>
        </w:rPr>
        <w:t>2</w:t>
      </w:r>
      <w:r>
        <w:rPr>
          <w:rFonts w:hint="eastAsia"/>
          <w:sz w:val="21"/>
          <w:szCs w:val="24"/>
        </w:rPr>
        <w:t>、其他应收款</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9"/>
        <w:gridCol w:w="3190"/>
        <w:gridCol w:w="3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其他应收款</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19,760,830.43</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23,008,321.95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19,760,830.43</w:t>
            </w:r>
          </w:p>
        </w:tc>
        <w:tc>
          <w:tcPr>
            <w:tcW w:w="319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23,008,321.95</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）应收利息</w:t>
      </w:r>
    </w:p>
    <w:p>
      <w:pPr>
        <w:pStyle w:val="7"/>
        <w:spacing w:beforeLines="0" w:afterLines="0"/>
        <w:outlineLvl w:val="4"/>
        <w:rPr>
          <w:rFonts w:hint="default"/>
          <w:sz w:val="21"/>
          <w:szCs w:val="24"/>
        </w:rPr>
      </w:pPr>
      <w:r>
        <w:rPr>
          <w:rFonts w:hint="default"/>
          <w:sz w:val="21"/>
          <w:szCs w:val="24"/>
        </w:rPr>
        <w:t>1</w:t>
      </w:r>
      <w:r>
        <w:rPr>
          <w:rFonts w:hint="eastAsia"/>
          <w:sz w:val="21"/>
          <w:szCs w:val="24"/>
        </w:rPr>
        <w:t>）应收利息分类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）重要逾期利息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借款单位</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逾期时间</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逾期原因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是否发生减值及其判断依据</w:t>
            </w:r>
          </w:p>
        </w:tc>
      </w:tr>
    </w:tbl>
    <w:p>
      <w:pPr>
        <w:spacing w:beforeLines="0" w:afterLines="0"/>
        <w:jc w:val="left"/>
        <w:rPr>
          <w:rFonts w:hint="default"/>
          <w:sz w:val="18"/>
          <w:szCs w:val="24"/>
        </w:rPr>
      </w:pPr>
      <w:r>
        <w:rPr>
          <w:rFonts w:hint="eastAsia"/>
          <w:sz w:val="18"/>
          <w:szCs w:val="24"/>
        </w:rPr>
        <w:t>其他说明：</w:t>
      </w:r>
    </w:p>
    <w:p>
      <w:pPr>
        <w:pStyle w:val="7"/>
        <w:spacing w:beforeLines="0" w:afterLines="0"/>
        <w:outlineLvl w:val="4"/>
        <w:rPr>
          <w:rFonts w:hint="default"/>
          <w:sz w:val="21"/>
          <w:szCs w:val="24"/>
        </w:rPr>
      </w:pPr>
      <w:r>
        <w:rPr>
          <w:rFonts w:hint="default"/>
          <w:sz w:val="21"/>
          <w:szCs w:val="24"/>
        </w:rPr>
        <w:t>3</w:t>
      </w:r>
      <w:r>
        <w:rPr>
          <w:rFonts w:hint="eastAsia"/>
          <w:sz w:val="21"/>
          <w:szCs w:val="24"/>
        </w:rPr>
        <w:t>）坏账准备计提情况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）应收股利</w:t>
      </w:r>
    </w:p>
    <w:p>
      <w:pPr>
        <w:pStyle w:val="7"/>
        <w:spacing w:beforeLines="0" w:afterLines="0"/>
        <w:outlineLvl w:val="4"/>
        <w:rPr>
          <w:rFonts w:hint="default"/>
          <w:sz w:val="21"/>
          <w:szCs w:val="24"/>
        </w:rPr>
      </w:pPr>
      <w:r>
        <w:rPr>
          <w:rFonts w:hint="default"/>
          <w:sz w:val="21"/>
          <w:szCs w:val="24"/>
        </w:rPr>
        <w:t>1</w:t>
      </w:r>
      <w:r>
        <w:rPr>
          <w:rFonts w:hint="eastAsia"/>
          <w:sz w:val="21"/>
          <w:szCs w:val="24"/>
        </w:rPr>
        <w:t>）应收股利分类</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90"/>
        <w:gridCol w:w="3190"/>
        <w:gridCol w:w="3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319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31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）重要的账龄超过</w:t>
      </w:r>
      <w:r>
        <w:rPr>
          <w:rFonts w:hint="default"/>
          <w:sz w:val="21"/>
          <w:szCs w:val="24"/>
        </w:rPr>
        <w:t>1</w:t>
      </w:r>
      <w:r>
        <w:rPr>
          <w:rFonts w:hint="eastAsia"/>
          <w:sz w:val="21"/>
          <w:szCs w:val="24"/>
        </w:rPr>
        <w:t>年的应收股利</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r>
              <w:rPr>
                <w:rFonts w:hint="default"/>
                <w:sz w:val="18"/>
                <w:szCs w:val="24"/>
              </w:rPr>
              <w:t>(</w:t>
            </w:r>
            <w:r>
              <w:rPr>
                <w:rFonts w:hint="eastAsia"/>
                <w:sz w:val="18"/>
                <w:szCs w:val="24"/>
              </w:rPr>
              <w:t>或被投资单位</w:t>
            </w:r>
            <w:r>
              <w:rPr>
                <w:rFonts w:hint="default"/>
                <w:sz w:val="18"/>
                <w:szCs w:val="24"/>
              </w:rPr>
              <w:t>)</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未收回的原因</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是否发生减值及其判断依据</w:t>
            </w:r>
          </w:p>
        </w:tc>
      </w:tr>
    </w:tbl>
    <w:p>
      <w:pPr>
        <w:pStyle w:val="7"/>
        <w:spacing w:beforeLines="0" w:afterLines="0"/>
        <w:outlineLvl w:val="4"/>
        <w:rPr>
          <w:rFonts w:hint="default"/>
          <w:sz w:val="21"/>
          <w:szCs w:val="24"/>
        </w:rPr>
      </w:pPr>
      <w:r>
        <w:rPr>
          <w:rFonts w:hint="default"/>
          <w:sz w:val="21"/>
          <w:szCs w:val="24"/>
        </w:rPr>
        <w:t>3</w:t>
      </w:r>
      <w:r>
        <w:rPr>
          <w:rFonts w:hint="eastAsia"/>
          <w:sz w:val="21"/>
          <w:szCs w:val="24"/>
        </w:rPr>
        <w:t>）坏账准备计提情况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）其他应收款</w:t>
      </w:r>
    </w:p>
    <w:p>
      <w:pPr>
        <w:pStyle w:val="7"/>
        <w:spacing w:beforeLines="0" w:afterLines="0"/>
        <w:outlineLvl w:val="4"/>
        <w:rPr>
          <w:rFonts w:hint="default"/>
          <w:sz w:val="21"/>
          <w:szCs w:val="24"/>
        </w:rPr>
      </w:pPr>
      <w:r>
        <w:rPr>
          <w:rFonts w:hint="default"/>
          <w:sz w:val="21"/>
          <w:szCs w:val="24"/>
        </w:rPr>
        <w:t>1</w:t>
      </w:r>
      <w:r>
        <w:rPr>
          <w:rFonts w:hint="eastAsia"/>
          <w:sz w:val="21"/>
          <w:szCs w:val="24"/>
        </w:rPr>
        <w:t>）其他应收款按款项性质分类情况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款项性质</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期末账面余额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出口退税</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4,276,202.06</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2,741,506.92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320,267.91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730,230.53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单位往来款</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16,683,553.24</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22,892,176.53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21,280,023.21</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26,363,913.98</w:t>
            </w:r>
          </w:p>
        </w:tc>
      </w:tr>
    </w:tbl>
    <w:p>
      <w:pPr>
        <w:pStyle w:val="7"/>
        <w:spacing w:beforeLines="0" w:afterLines="0"/>
        <w:outlineLvl w:val="4"/>
        <w:rPr>
          <w:rFonts w:hint="default"/>
          <w:sz w:val="21"/>
          <w:szCs w:val="24"/>
        </w:rPr>
      </w:pPr>
      <w:r>
        <w:rPr>
          <w:rFonts w:hint="default"/>
          <w:sz w:val="21"/>
          <w:szCs w:val="24"/>
        </w:rPr>
        <w:t>2</w:t>
      </w:r>
      <w:r>
        <w:rPr>
          <w:rFonts w:hint="eastAsia"/>
          <w:sz w:val="21"/>
          <w:szCs w:val="24"/>
        </w:rPr>
        <w:t>）坏账准备计提情况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6"/>
        <w:gridCol w:w="1650"/>
        <w:gridCol w:w="2099"/>
        <w:gridCol w:w="2099"/>
        <w:gridCol w:w="18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第一阶段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第二阶段</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第三阶段</w:t>
            </w:r>
          </w:p>
        </w:tc>
        <w:tc>
          <w:tcPr>
            <w:tcW w:w="180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未来</w:t>
            </w:r>
            <w:r>
              <w:rPr>
                <w:rFonts w:hint="default"/>
                <w:sz w:val="18"/>
                <w:szCs w:val="24"/>
              </w:rPr>
              <w:t>12</w:t>
            </w:r>
            <w:r>
              <w:rPr>
                <w:rFonts w:hint="eastAsia"/>
                <w:sz w:val="18"/>
                <w:szCs w:val="24"/>
              </w:rPr>
              <w:t>个月预期信用损失</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未发生信用减值</w:t>
            </w: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整个存续期预期信用损失</w:t>
            </w:r>
            <w:r>
              <w:rPr>
                <w:rFonts w:hint="default"/>
                <w:sz w:val="18"/>
                <w:szCs w:val="24"/>
              </w:rPr>
              <w:t>(</w:t>
            </w:r>
            <w:r>
              <w:rPr>
                <w:rFonts w:hint="eastAsia"/>
                <w:sz w:val="18"/>
                <w:szCs w:val="24"/>
              </w:rPr>
              <w:t>已发生信用减值</w:t>
            </w:r>
            <w:r>
              <w:rPr>
                <w:rFonts w:hint="default"/>
                <w:sz w:val="18"/>
                <w:szCs w:val="24"/>
              </w:rPr>
              <w:t>)</w:t>
            </w:r>
          </w:p>
        </w:tc>
        <w:tc>
          <w:tcPr>
            <w:tcW w:w="180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3,355,592.03</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3,355,592.03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w:t>
            </w:r>
            <w:r>
              <w:rPr>
                <w:rFonts w:hint="eastAsia"/>
                <w:sz w:val="18"/>
                <w:szCs w:val="24"/>
              </w:rPr>
              <w:t>月</w:t>
            </w:r>
            <w:r>
              <w:rPr>
                <w:rFonts w:hint="default"/>
                <w:sz w:val="18"/>
                <w:szCs w:val="24"/>
              </w:rPr>
              <w:t>1</w:t>
            </w:r>
            <w:r>
              <w:rPr>
                <w:rFonts w:hint="eastAsia"/>
                <w:sz w:val="18"/>
                <w:szCs w:val="24"/>
              </w:rPr>
              <w:t>日余额在本期</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本期转回</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1,836,399.25</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2021</w:t>
            </w:r>
            <w:r>
              <w:rPr>
                <w:rFonts w:hint="eastAsia"/>
                <w:sz w:val="18"/>
                <w:szCs w:val="24"/>
              </w:rPr>
              <w:t>年</w:t>
            </w:r>
            <w:r>
              <w:rPr>
                <w:rFonts w:hint="default"/>
                <w:sz w:val="18"/>
                <w:szCs w:val="24"/>
              </w:rPr>
              <w:t>12</w:t>
            </w:r>
            <w:r>
              <w:rPr>
                <w:rFonts w:hint="eastAsia"/>
                <w:sz w:val="18"/>
                <w:szCs w:val="24"/>
              </w:rPr>
              <w:t>月</w:t>
            </w:r>
            <w:r>
              <w:rPr>
                <w:rFonts w:hint="default"/>
                <w:sz w:val="18"/>
                <w:szCs w:val="24"/>
              </w:rPr>
              <w:t>31</w:t>
            </w:r>
            <w:r>
              <w:rPr>
                <w:rFonts w:hint="eastAsia"/>
                <w:sz w:val="18"/>
                <w:szCs w:val="24"/>
              </w:rPr>
              <w:t>日余额</w:t>
            </w:r>
          </w:p>
        </w:tc>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1,519,192.78</w:t>
            </w: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209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80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1,519,192.78</w:t>
            </w:r>
          </w:p>
        </w:tc>
      </w:tr>
    </w:tbl>
    <w:p>
      <w:pPr>
        <w:spacing w:beforeLines="0" w:afterLines="0"/>
        <w:jc w:val="left"/>
        <w:rPr>
          <w:rFonts w:hint="default"/>
          <w:sz w:val="18"/>
          <w:szCs w:val="24"/>
        </w:rPr>
      </w:pPr>
      <w:r>
        <w:rPr>
          <w:rFonts w:hint="eastAsia"/>
          <w:sz w:val="18"/>
          <w:szCs w:val="24"/>
        </w:rPr>
        <w:t>损失准备本期变动金额重大的账面余额变动情况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按账龄披露</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4"/>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年以内（含</w:t>
            </w:r>
            <w:r>
              <w:rPr>
                <w:rFonts w:hint="default"/>
                <w:sz w:val="18"/>
                <w:szCs w:val="24"/>
              </w:rPr>
              <w:t>1</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13,298,295.22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至</w:t>
            </w:r>
            <w:r>
              <w:rPr>
                <w:rFonts w:hint="default"/>
                <w:sz w:val="18"/>
                <w:szCs w:val="24"/>
              </w:rPr>
              <w:t>2</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7,889,136.19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2</w:t>
            </w:r>
            <w:r>
              <w:rPr>
                <w:rFonts w:hint="eastAsia"/>
                <w:sz w:val="18"/>
                <w:szCs w:val="24"/>
              </w:rPr>
              <w:t>至</w:t>
            </w:r>
            <w:r>
              <w:rPr>
                <w:rFonts w:hint="default"/>
                <w:sz w:val="18"/>
                <w:szCs w:val="24"/>
              </w:rPr>
              <w:t>3</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default"/>
                <w:sz w:val="18"/>
                <w:szCs w:val="24"/>
              </w:rPr>
              <w:t>3</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72,591.80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4</w:t>
            </w:r>
            <w:r>
              <w:rPr>
                <w:rFonts w:hint="eastAsia"/>
                <w:sz w:val="18"/>
                <w:szCs w:val="24"/>
              </w:rPr>
              <w:t>至</w:t>
            </w:r>
            <w:r>
              <w:rPr>
                <w:rFonts w:hint="default"/>
                <w:sz w:val="18"/>
                <w:szCs w:val="24"/>
              </w:rPr>
              <w:t>5</w:t>
            </w:r>
            <w:r>
              <w:rPr>
                <w:rFonts w:hint="eastAsia"/>
                <w:sz w:val="18"/>
                <w:szCs w:val="24"/>
              </w:rPr>
              <w:t>年</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66,137.00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w:t>
            </w:r>
            <w:r>
              <w:rPr>
                <w:rFonts w:hint="default"/>
                <w:sz w:val="18"/>
                <w:szCs w:val="24"/>
              </w:rPr>
              <w:t>5</w:t>
            </w:r>
            <w:r>
              <w:rPr>
                <w:rFonts w:hint="eastAsia"/>
                <w:sz w:val="18"/>
                <w:szCs w:val="24"/>
              </w:rPr>
              <w:t>年以上</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6,454.80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47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21,280,023.21</w:t>
            </w:r>
          </w:p>
        </w:tc>
      </w:tr>
    </w:tbl>
    <w:p>
      <w:pPr>
        <w:pStyle w:val="7"/>
        <w:spacing w:beforeLines="0" w:afterLines="0"/>
        <w:outlineLvl w:val="4"/>
        <w:rPr>
          <w:rFonts w:hint="default"/>
          <w:sz w:val="21"/>
          <w:szCs w:val="24"/>
        </w:rPr>
      </w:pPr>
      <w:r>
        <w:rPr>
          <w:rFonts w:hint="default"/>
          <w:sz w:val="21"/>
          <w:szCs w:val="24"/>
        </w:rPr>
        <w:t>3</w:t>
      </w:r>
      <w:r>
        <w:rPr>
          <w:rFonts w:hint="eastAsia"/>
          <w:sz w:val="21"/>
          <w:szCs w:val="24"/>
        </w:rPr>
        <w:t>）本期计提、收回或转回的坏账准备情况</w:t>
      </w:r>
    </w:p>
    <w:p>
      <w:pPr>
        <w:spacing w:beforeLines="0" w:afterLines="0"/>
        <w:jc w:val="left"/>
        <w:rPr>
          <w:rFonts w:hint="default"/>
          <w:sz w:val="18"/>
          <w:szCs w:val="24"/>
        </w:rPr>
      </w:pPr>
      <w:r>
        <w:rPr>
          <w:rFonts w:hint="eastAsia"/>
          <w:sz w:val="18"/>
          <w:szCs w:val="24"/>
        </w:rPr>
        <w:t>本期计提坏账准备情况：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9"/>
        <w:gridCol w:w="1087"/>
        <w:gridCol w:w="1332"/>
        <w:gridCol w:w="1330"/>
        <w:gridCol w:w="1089"/>
        <w:gridCol w:w="1577"/>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类别</w:t>
            </w:r>
          </w:p>
        </w:tc>
        <w:tc>
          <w:tcPr>
            <w:tcW w:w="108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c>
          <w:tcPr>
            <w:tcW w:w="5328"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本期变动金额</w:t>
            </w:r>
          </w:p>
        </w:tc>
        <w:tc>
          <w:tcPr>
            <w:tcW w:w="157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08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收回或转回</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w:t>
            </w: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57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按单项计提坏账准备</w:t>
            </w:r>
          </w:p>
        </w:tc>
        <w:tc>
          <w:tcPr>
            <w:tcW w:w="10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按组合计提坏账准备</w:t>
            </w:r>
          </w:p>
        </w:tc>
        <w:tc>
          <w:tcPr>
            <w:tcW w:w="10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3,355,592.03</w:t>
            </w: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1,836,399.25</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1,519,192.78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7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08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3,355,592.03</w:t>
            </w:r>
          </w:p>
        </w:tc>
        <w:tc>
          <w:tcPr>
            <w:tcW w:w="133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1,836,399.25</w:t>
            </w:r>
          </w:p>
        </w:tc>
        <w:tc>
          <w:tcPr>
            <w:tcW w:w="108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57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1,519,192.78</w:t>
            </w:r>
          </w:p>
        </w:tc>
      </w:tr>
    </w:tbl>
    <w:p>
      <w:pPr>
        <w:spacing w:beforeLines="0" w:afterLines="0"/>
        <w:jc w:val="left"/>
        <w:rPr>
          <w:rFonts w:hint="default"/>
          <w:sz w:val="18"/>
          <w:szCs w:val="24"/>
        </w:rPr>
      </w:pPr>
      <w:r>
        <w:rPr>
          <w:rFonts w:hint="eastAsia"/>
          <w:sz w:val="18"/>
          <w:szCs w:val="24"/>
        </w:rPr>
        <w:t>其中本期坏账准备转回或收回金额重要的：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87"/>
        <w:gridCol w:w="3191"/>
        <w:gridCol w:w="3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8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转回或收回金额</w:t>
            </w:r>
          </w:p>
        </w:tc>
        <w:tc>
          <w:tcPr>
            <w:tcW w:w="319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收回方式</w:t>
            </w:r>
          </w:p>
        </w:tc>
      </w:tr>
    </w:tbl>
    <w:p>
      <w:pPr>
        <w:pStyle w:val="7"/>
        <w:spacing w:beforeLines="0" w:afterLines="0"/>
        <w:outlineLvl w:val="4"/>
        <w:rPr>
          <w:rFonts w:hint="default"/>
          <w:sz w:val="21"/>
          <w:szCs w:val="24"/>
        </w:rPr>
      </w:pPr>
      <w:r>
        <w:rPr>
          <w:rFonts w:hint="default"/>
          <w:sz w:val="21"/>
          <w:szCs w:val="24"/>
        </w:rPr>
        <w:t>4</w:t>
      </w:r>
      <w:r>
        <w:rPr>
          <w:rFonts w:hint="eastAsia"/>
          <w:sz w:val="21"/>
          <w:szCs w:val="24"/>
        </w:rPr>
        <w:t>）本期实际核销的其他应收款情况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0"/>
        <w:gridCol w:w="4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0"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78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r>
    </w:tbl>
    <w:p>
      <w:pPr>
        <w:spacing w:beforeLines="0" w:afterLines="0"/>
        <w:jc w:val="left"/>
        <w:rPr>
          <w:rFonts w:hint="default"/>
          <w:sz w:val="18"/>
          <w:szCs w:val="24"/>
        </w:rPr>
      </w:pPr>
      <w:r>
        <w:rPr>
          <w:rFonts w:hint="eastAsia"/>
          <w:sz w:val="18"/>
          <w:szCs w:val="24"/>
        </w:rPr>
        <w:t>其中重要的其他应收款核销情况：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其他应收款性质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核销金额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核销原因</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履行的核销程序</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款项是否由关联交易产生</w:t>
            </w:r>
          </w:p>
        </w:tc>
      </w:tr>
    </w:tbl>
    <w:p>
      <w:pPr>
        <w:spacing w:beforeLines="0" w:afterLines="0"/>
        <w:jc w:val="left"/>
        <w:rPr>
          <w:rFonts w:hint="default"/>
          <w:sz w:val="18"/>
          <w:szCs w:val="24"/>
        </w:rPr>
      </w:pPr>
      <w:r>
        <w:rPr>
          <w:rFonts w:hint="eastAsia"/>
          <w:sz w:val="18"/>
          <w:szCs w:val="24"/>
        </w:rPr>
        <w:t>其他应收款核销说明：</w:t>
      </w:r>
    </w:p>
    <w:p>
      <w:pPr>
        <w:pStyle w:val="7"/>
        <w:spacing w:beforeLines="0" w:afterLines="0"/>
        <w:outlineLvl w:val="4"/>
        <w:rPr>
          <w:rFonts w:hint="default"/>
          <w:sz w:val="21"/>
          <w:szCs w:val="24"/>
        </w:rPr>
      </w:pPr>
      <w:r>
        <w:rPr>
          <w:rFonts w:hint="default"/>
          <w:sz w:val="21"/>
          <w:szCs w:val="24"/>
        </w:rPr>
        <w:t>5</w:t>
      </w:r>
      <w:r>
        <w:rPr>
          <w:rFonts w:hint="eastAsia"/>
          <w:sz w:val="21"/>
          <w:szCs w:val="24"/>
        </w:rPr>
        <w:t>）按欠款方归集的期末余额前五名的其他应收款情况</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84"/>
        <w:gridCol w:w="1551"/>
        <w:gridCol w:w="1552"/>
        <w:gridCol w:w="1552"/>
        <w:gridCol w:w="1615"/>
        <w:gridCol w:w="16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款项的性质</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账龄</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占其他应收款期末余额合计数的比例</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坏账准备期末余额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客户一</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往来款</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16,660,961.44</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r>
              <w:rPr>
                <w:rFonts w:hint="default"/>
                <w:sz w:val="18"/>
                <w:szCs w:val="24"/>
              </w:rPr>
              <w:t>1-2</w:t>
            </w:r>
            <w:r>
              <w:rPr>
                <w:rFonts w:hint="eastAsia"/>
                <w:sz w:val="18"/>
                <w:szCs w:val="24"/>
              </w:rPr>
              <w:t>年</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78.29%</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1,226,096.14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应收出口退税款</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出口退税</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4,276,202.06</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20.09%</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213,810.10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客户二</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90,000.00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0.42%</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客户三</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0.28%</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客户四</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保证金</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1</w:t>
            </w:r>
            <w:r>
              <w:rPr>
                <w:rFonts w:hint="eastAsia"/>
                <w:sz w:val="18"/>
                <w:szCs w:val="24"/>
              </w:rPr>
              <w:t>年以内</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0.23%</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551"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21,137,163.50</w:t>
            </w:r>
          </w:p>
        </w:tc>
        <w:tc>
          <w:tcPr>
            <w:tcW w:w="155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99.31%</w:t>
            </w:r>
          </w:p>
        </w:tc>
        <w:tc>
          <w:tcPr>
            <w:tcW w:w="1615"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1,449,906.24</w:t>
            </w:r>
          </w:p>
        </w:tc>
      </w:tr>
    </w:tbl>
    <w:p>
      <w:pPr>
        <w:pStyle w:val="7"/>
        <w:spacing w:beforeLines="0" w:afterLines="0"/>
        <w:outlineLvl w:val="4"/>
        <w:rPr>
          <w:rFonts w:hint="default"/>
          <w:sz w:val="21"/>
          <w:szCs w:val="24"/>
        </w:rPr>
      </w:pPr>
      <w:r>
        <w:rPr>
          <w:rFonts w:hint="default"/>
          <w:sz w:val="21"/>
          <w:szCs w:val="24"/>
        </w:rPr>
        <w:t>6</w:t>
      </w:r>
      <w:r>
        <w:rPr>
          <w:rFonts w:hint="eastAsia"/>
          <w:sz w:val="21"/>
          <w:szCs w:val="24"/>
        </w:rPr>
        <w:t>）涉及政府补助的应收款项</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25"/>
        <w:gridCol w:w="1866"/>
        <w:gridCol w:w="1867"/>
        <w:gridCol w:w="1867"/>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25"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单位名称</w:t>
            </w:r>
          </w:p>
        </w:tc>
        <w:tc>
          <w:tcPr>
            <w:tcW w:w="18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政府补助项目名称</w:t>
            </w:r>
          </w:p>
        </w:tc>
        <w:tc>
          <w:tcPr>
            <w:tcW w:w="18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18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期末账龄</w:t>
            </w:r>
          </w:p>
        </w:tc>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预计收取的时间、金额及依据</w:t>
            </w:r>
          </w:p>
        </w:tc>
      </w:tr>
    </w:tbl>
    <w:p>
      <w:pPr>
        <w:pStyle w:val="7"/>
        <w:spacing w:beforeLines="0" w:afterLines="0"/>
        <w:outlineLvl w:val="4"/>
        <w:rPr>
          <w:rFonts w:hint="default"/>
          <w:sz w:val="21"/>
          <w:szCs w:val="24"/>
        </w:rPr>
      </w:pPr>
      <w:r>
        <w:rPr>
          <w:rFonts w:hint="default"/>
          <w:sz w:val="21"/>
          <w:szCs w:val="24"/>
        </w:rPr>
        <w:t>7</w:t>
      </w:r>
      <w:r>
        <w:rPr>
          <w:rFonts w:hint="eastAsia"/>
          <w:sz w:val="21"/>
          <w:szCs w:val="24"/>
        </w:rPr>
        <w:t>）因金融资产转移而终止确认的其他应收款</w:t>
      </w:r>
    </w:p>
    <w:p>
      <w:pPr>
        <w:pStyle w:val="7"/>
        <w:spacing w:beforeLines="0" w:afterLines="0"/>
        <w:outlineLvl w:val="4"/>
        <w:rPr>
          <w:rFonts w:hint="default"/>
          <w:sz w:val="21"/>
          <w:szCs w:val="24"/>
        </w:rPr>
      </w:pPr>
      <w:r>
        <w:rPr>
          <w:rFonts w:hint="default"/>
          <w:sz w:val="21"/>
          <w:szCs w:val="24"/>
        </w:rPr>
        <w:t>8</w:t>
      </w:r>
      <w:r>
        <w:rPr>
          <w:rFonts w:hint="eastAsia"/>
          <w:sz w:val="21"/>
          <w:szCs w:val="24"/>
        </w:rPr>
        <w:t>）转移其他应收款且继续涉入形成的资产、负债金额</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3</w:t>
      </w:r>
      <w:r>
        <w:rPr>
          <w:rFonts w:hint="eastAsia"/>
          <w:sz w:val="21"/>
          <w:szCs w:val="24"/>
        </w:rPr>
        <w:t>、长期股权投资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8"/>
        <w:gridCol w:w="1368"/>
        <w:gridCol w:w="1367"/>
        <w:gridCol w:w="1367"/>
        <w:gridCol w:w="1367"/>
        <w:gridCol w:w="1367"/>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4102"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p>
        </w:tc>
        <w:tc>
          <w:tcPr>
            <w:tcW w:w="4101" w:type="dxa"/>
            <w:gridSpan w:val="3"/>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账面余额</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对子公司投资</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368"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242,362,726.25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242,362,726.25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242,044,261.25</w:t>
            </w:r>
          </w:p>
        </w:tc>
        <w:tc>
          <w:tcPr>
            <w:tcW w:w="13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36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242,044,261.25</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）对子公司投资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7"/>
        <w:gridCol w:w="1166"/>
        <w:gridCol w:w="1166"/>
        <w:gridCol w:w="1166"/>
        <w:gridCol w:w="1166"/>
        <w:gridCol w:w="1213"/>
        <w:gridCol w:w="1213"/>
        <w:gridCol w:w="1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被投资单位</w:t>
            </w:r>
          </w:p>
        </w:tc>
        <w:tc>
          <w:tcPr>
            <w:tcW w:w="116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4711" w:type="dxa"/>
            <w:gridSpan w:val="4"/>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本期增减变动</w:t>
            </w:r>
          </w:p>
        </w:tc>
        <w:tc>
          <w:tcPr>
            <w:tcW w:w="12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121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6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追加投资</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减少投资</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计提减值准备</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121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青岛伟隆五金机械有限公司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青岛伟隆流体设备有限公司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60,000,000.00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莱州伟隆阀门有限公司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167,988,288.38</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167,988,288.38</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青岛即聚机电有限责任公司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8,247,836.87</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8,247,836.87</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青岛卓信检测技术有限责任公司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5,000,000.00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偉隆（香港）實業有限公司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318,465.00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318,465.00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WefloValveCompanyLimited</w:t>
            </w:r>
            <w:r>
              <w:rPr>
                <w:rFonts w:hint="eastAsia"/>
                <w:sz w:val="18"/>
                <w:szCs w:val="24"/>
              </w:rPr>
              <w:t>（英国公司）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default"/>
                <w:sz w:val="18"/>
                <w:szCs w:val="24"/>
              </w:rPr>
              <w:t>WefloValveLLC</w:t>
            </w:r>
            <w:r>
              <w:rPr>
                <w:rFonts w:hint="eastAsia"/>
                <w:sz w:val="18"/>
                <w:szCs w:val="24"/>
              </w:rPr>
              <w:t>（美国公司）</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308,136.00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308,136.00</w:t>
            </w: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right"/>
              <w:rPr>
                <w:rFonts w:hint="default"/>
                <w:sz w:val="18"/>
                <w:szCs w:val="24"/>
              </w:rPr>
            </w:pPr>
            <w:r>
              <w:rPr>
                <w:rFonts w:hint="default"/>
                <w:sz w:val="18"/>
                <w:szCs w:val="24"/>
              </w:rPr>
              <w:t>242,044,261.25</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318,465.00</w:t>
            </w: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16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242,362,726.25</w:t>
            </w:r>
          </w:p>
        </w:tc>
        <w:tc>
          <w:tcPr>
            <w:tcW w:w="12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）对联营、合营企业投资</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797"/>
        <w:gridCol w:w="797"/>
        <w:gridCol w:w="798"/>
        <w:gridCol w:w="798"/>
        <w:gridCol w:w="798"/>
        <w:gridCol w:w="798"/>
        <w:gridCol w:w="798"/>
        <w:gridCol w:w="798"/>
        <w:gridCol w:w="798"/>
        <w:gridCol w:w="798"/>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投资单位</w:t>
            </w:r>
          </w:p>
        </w:tc>
        <w:tc>
          <w:tcPr>
            <w:tcW w:w="79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期初余额</w:t>
            </w:r>
            <w:r>
              <w:rPr>
                <w:rFonts w:hint="default"/>
                <w:sz w:val="18"/>
                <w:szCs w:val="24"/>
              </w:rPr>
              <w:t>(</w:t>
            </w:r>
            <w:r>
              <w:rPr>
                <w:rFonts w:hint="eastAsia"/>
                <w:sz w:val="18"/>
                <w:szCs w:val="24"/>
              </w:rPr>
              <w:t>账面价值</w:t>
            </w:r>
            <w:r>
              <w:rPr>
                <w:rFonts w:hint="default"/>
                <w:sz w:val="18"/>
                <w:szCs w:val="24"/>
              </w:rPr>
              <w:t>)</w:t>
            </w:r>
          </w:p>
        </w:tc>
        <w:tc>
          <w:tcPr>
            <w:tcW w:w="6383" w:type="dxa"/>
            <w:gridSpan w:val="8"/>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本期增减变动</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期末余额</w:t>
            </w:r>
            <w:r>
              <w:rPr>
                <w:rFonts w:hint="default"/>
                <w:sz w:val="18"/>
                <w:szCs w:val="24"/>
              </w:rPr>
              <w:t>(</w:t>
            </w:r>
            <w:r>
              <w:rPr>
                <w:rFonts w:hint="eastAsia"/>
                <w:sz w:val="18"/>
                <w:szCs w:val="24"/>
              </w:rPr>
              <w:t>账面价值</w:t>
            </w:r>
            <w:r>
              <w:rPr>
                <w:rFonts w:hint="default"/>
                <w:sz w:val="18"/>
                <w:szCs w:val="24"/>
              </w:rPr>
              <w:t>)</w:t>
            </w:r>
          </w:p>
        </w:tc>
        <w:tc>
          <w:tcPr>
            <w:tcW w:w="79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减值准备期末余额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9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9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79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追加投资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减少投资</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权益法下确认的投资损益</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其他综合收益调整</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其他权益变动</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宣告发放现金股利或利润</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计提减值准备</w:t>
            </w:r>
          </w:p>
        </w:tc>
        <w:tc>
          <w:tcPr>
            <w:tcW w:w="798"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其他</w:t>
            </w: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c>
          <w:tcPr>
            <w:tcW w:w="79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一、合营企业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572" w:type="dxa"/>
            <w:gridSpan w:val="1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二、联营企业</w:t>
            </w:r>
          </w:p>
        </w:tc>
      </w:tr>
    </w:tbl>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）其他说明</w:t>
      </w:r>
    </w:p>
    <w:p>
      <w:pPr>
        <w:pStyle w:val="7"/>
        <w:spacing w:beforeLines="0" w:afterLines="0"/>
        <w:outlineLvl w:val="2"/>
        <w:rPr>
          <w:rFonts w:hint="default"/>
          <w:sz w:val="21"/>
          <w:szCs w:val="24"/>
        </w:rPr>
      </w:pPr>
      <w:r>
        <w:rPr>
          <w:rFonts w:hint="default"/>
          <w:sz w:val="21"/>
          <w:szCs w:val="24"/>
        </w:rPr>
        <w:t>4</w:t>
      </w:r>
      <w:r>
        <w:rPr>
          <w:rFonts w:hint="eastAsia"/>
          <w:sz w:val="21"/>
          <w:szCs w:val="24"/>
        </w:rPr>
        <w:t>、营业收入和营业成本</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94"/>
        <w:gridCol w:w="1837"/>
        <w:gridCol w:w="1913"/>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750"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8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收入</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主营业务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372,057,405.93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254,244,302.15</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318,515,971.20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207,675,822.50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其他业务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2,079,050.53</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918,926.50</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817,576.39</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461,227.15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9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837"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374,136,456.46</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255,163,228.65</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319,333,547.59</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208,137,049.65</w:t>
            </w:r>
          </w:p>
        </w:tc>
      </w:tr>
    </w:tbl>
    <w:p>
      <w:pPr>
        <w:spacing w:beforeLines="0" w:afterLines="0"/>
        <w:jc w:val="left"/>
        <w:rPr>
          <w:rFonts w:hint="default"/>
          <w:sz w:val="18"/>
          <w:szCs w:val="24"/>
        </w:rPr>
      </w:pPr>
      <w:r>
        <w:rPr>
          <w:rFonts w:hint="eastAsia"/>
          <w:sz w:val="18"/>
          <w:szCs w:val="24"/>
        </w:rPr>
        <w:t>收入相关信息：</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4"/>
        <w:gridCol w:w="1914"/>
        <w:gridCol w:w="1914"/>
        <w:gridCol w:w="1914"/>
        <w:gridCol w:w="1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合同分类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w:t>
            </w:r>
            <w:r>
              <w:rPr>
                <w:rFonts w:hint="default"/>
                <w:sz w:val="18"/>
                <w:szCs w:val="24"/>
              </w:rPr>
              <w:t>1</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分部</w:t>
            </w:r>
            <w:r>
              <w:rPr>
                <w:rFonts w:hint="default"/>
                <w:sz w:val="18"/>
                <w:szCs w:val="24"/>
              </w:rPr>
              <w:t>2</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商品类型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按经营地区分类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市场或客户类型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合同类型</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按商品转让的时间分类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按合同期限分类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按销售渠道分类</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　其中：</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191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r>
    </w:tbl>
    <w:p>
      <w:pPr>
        <w:spacing w:beforeLines="0" w:afterLines="0"/>
        <w:jc w:val="left"/>
        <w:rPr>
          <w:rFonts w:hint="default"/>
          <w:sz w:val="18"/>
          <w:szCs w:val="24"/>
        </w:rPr>
      </w:pPr>
      <w:r>
        <w:rPr>
          <w:rFonts w:hint="eastAsia"/>
          <w:sz w:val="18"/>
          <w:szCs w:val="24"/>
        </w:rPr>
        <w:t>与履约义务相关的信息：</w:t>
      </w:r>
    </w:p>
    <w:p>
      <w:pPr>
        <w:autoSpaceDE w:val="0"/>
        <w:autoSpaceDN w:val="0"/>
        <w:adjustRightInd w:val="0"/>
        <w:spacing w:before="0" w:beforeLines="0" w:after="0" w:afterLines="0"/>
        <w:jc w:val="left"/>
        <w:rPr>
          <w:rFonts w:hint="eastAsia" w:ascii="宋体"/>
          <w:sz w:val="18"/>
          <w:szCs w:val="24"/>
          <w:lang w:val="zh-CN"/>
        </w:rPr>
      </w:pPr>
      <w:r>
        <w:rPr>
          <w:rFonts w:hint="eastAsia" w:ascii="宋体"/>
          <w:sz w:val="18"/>
          <w:szCs w:val="24"/>
          <w:lang w:val="zh-CN"/>
        </w:rPr>
        <w:t>不适用</w:t>
      </w:r>
    </w:p>
    <w:p>
      <w:pPr>
        <w:spacing w:beforeLines="0" w:afterLines="0"/>
        <w:jc w:val="left"/>
        <w:rPr>
          <w:rFonts w:hint="default"/>
          <w:sz w:val="18"/>
          <w:szCs w:val="24"/>
        </w:rPr>
      </w:pPr>
      <w:r>
        <w:rPr>
          <w:rFonts w:hint="eastAsia"/>
          <w:sz w:val="18"/>
          <w:szCs w:val="24"/>
        </w:rPr>
        <w:t>与分摊至剩余履约义务的交易价格相关的信息：</w:t>
      </w:r>
    </w:p>
    <w:p>
      <w:pPr>
        <w:spacing w:beforeLines="0" w:afterLines="0"/>
        <w:jc w:val="left"/>
        <w:rPr>
          <w:rFonts w:hint="default"/>
          <w:sz w:val="18"/>
          <w:szCs w:val="24"/>
        </w:rPr>
      </w:pPr>
      <w:r>
        <w:rPr>
          <w:rFonts w:hint="eastAsia"/>
          <w:sz w:val="18"/>
          <w:szCs w:val="24"/>
        </w:rPr>
        <w:t>本报告期末已签订合同、但尚未履行或尚未履行完毕的履约义务所对应的收入金额为</w:t>
      </w:r>
      <w:r>
        <w:rPr>
          <w:rFonts w:hint="default"/>
          <w:sz w:val="18"/>
          <w:szCs w:val="24"/>
        </w:rPr>
        <w:t>16,641,842.93</w:t>
      </w:r>
      <w:r>
        <w:rPr>
          <w:rFonts w:hint="eastAsia"/>
          <w:sz w:val="18"/>
          <w:szCs w:val="24"/>
        </w:rPr>
        <w:t>元，其中，</w:t>
      </w:r>
      <w:r>
        <w:rPr>
          <w:rFonts w:hint="default"/>
          <w:sz w:val="18"/>
          <w:szCs w:val="24"/>
        </w:rPr>
        <w:t>16,641,842.93</w:t>
      </w:r>
      <w:r>
        <w:rPr>
          <w:rFonts w:hint="eastAsia"/>
          <w:sz w:val="18"/>
          <w:szCs w:val="24"/>
        </w:rPr>
        <w:t>元预计将于</w:t>
      </w:r>
      <w:r>
        <w:rPr>
          <w:rFonts w:hint="default"/>
          <w:sz w:val="18"/>
          <w:szCs w:val="24"/>
        </w:rPr>
        <w:t>2022</w:t>
      </w:r>
      <w:r>
        <w:rPr>
          <w:rFonts w:hint="eastAsia"/>
          <w:sz w:val="18"/>
          <w:szCs w:val="24"/>
        </w:rPr>
        <w:t>年度确认收入，元预计将于年度确认收入，元预计将于年度确认收入。</w:t>
      </w:r>
    </w:p>
    <w:p>
      <w:pPr>
        <w:spacing w:beforeLines="0" w:afterLines="0"/>
        <w:jc w:val="left"/>
        <w:rPr>
          <w:rFonts w:hint="default"/>
          <w:sz w:val="18"/>
          <w:szCs w:val="24"/>
        </w:rPr>
      </w:pPr>
      <w:r>
        <w:rPr>
          <w:rFonts w:hint="eastAsia"/>
          <w:sz w:val="18"/>
          <w:szCs w:val="24"/>
        </w:rPr>
        <w:t>其他说明：</w:t>
      </w:r>
    </w:p>
    <w:p>
      <w:pPr>
        <w:pStyle w:val="7"/>
        <w:spacing w:beforeLines="0" w:afterLines="0"/>
        <w:outlineLvl w:val="2"/>
        <w:rPr>
          <w:rFonts w:hint="default"/>
          <w:sz w:val="21"/>
          <w:szCs w:val="24"/>
        </w:rPr>
      </w:pPr>
      <w:r>
        <w:rPr>
          <w:rFonts w:hint="default"/>
          <w:sz w:val="21"/>
          <w:szCs w:val="24"/>
        </w:rPr>
        <w:t>5</w:t>
      </w:r>
      <w:r>
        <w:rPr>
          <w:rFonts w:hint="eastAsia"/>
          <w:sz w:val="21"/>
          <w:szCs w:val="24"/>
        </w:rPr>
        <w:t>、投资收益</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本期发生额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上期发生额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处置交易性金融资产取得的投资收益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13,896,219.40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7,943,380.00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外汇期权收益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55,250.00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430,900.00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远期结售汇损失</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-129,550.00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r>
              <w:rPr>
                <w:rFonts w:hint="eastAsia"/>
                <w:sz w:val="18"/>
                <w:szCs w:val="24"/>
              </w:rPr>
              <w:t>大额存单在持有期间取得的收益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1,498,850.00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875,350.00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05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15,450,319.40</w:t>
            </w:r>
          </w:p>
        </w:tc>
        <w:tc>
          <w:tcPr>
            <w:tcW w:w="31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9,120,080.00</w:t>
            </w:r>
          </w:p>
        </w:tc>
      </w:tr>
    </w:tbl>
    <w:p>
      <w:pPr>
        <w:pStyle w:val="7"/>
        <w:spacing w:beforeLines="0" w:afterLines="0"/>
        <w:outlineLvl w:val="2"/>
        <w:rPr>
          <w:rFonts w:hint="default"/>
          <w:sz w:val="21"/>
          <w:szCs w:val="24"/>
        </w:rPr>
      </w:pPr>
      <w:r>
        <w:rPr>
          <w:rFonts w:hint="default"/>
          <w:sz w:val="21"/>
          <w:szCs w:val="24"/>
        </w:rPr>
        <w:t>6</w:t>
      </w:r>
      <w:r>
        <w:rPr>
          <w:rFonts w:hint="eastAsia"/>
          <w:sz w:val="21"/>
          <w:szCs w:val="24"/>
        </w:rPr>
        <w:t>、其他</w:t>
      </w:r>
    </w:p>
    <w:p>
      <w:pPr>
        <w:pStyle w:val="6"/>
        <w:spacing w:beforeLines="0" w:afterLines="0"/>
        <w:outlineLvl w:val="1"/>
        <w:rPr>
          <w:rFonts w:hint="default"/>
          <w:sz w:val="24"/>
          <w:szCs w:val="24"/>
        </w:rPr>
      </w:pPr>
      <w:r>
        <w:rPr>
          <w:rFonts w:hint="eastAsia"/>
          <w:sz w:val="24"/>
          <w:szCs w:val="24"/>
        </w:rPr>
        <w:t>十八、补充资料</w:t>
      </w:r>
    </w:p>
    <w:p>
      <w:pPr>
        <w:pStyle w:val="7"/>
        <w:spacing w:beforeLines="0" w:afterLines="0"/>
        <w:outlineLvl w:val="2"/>
        <w:rPr>
          <w:rFonts w:hint="default"/>
          <w:sz w:val="21"/>
          <w:szCs w:val="24"/>
        </w:rPr>
      </w:pPr>
      <w:r>
        <w:rPr>
          <w:rFonts w:hint="default"/>
          <w:sz w:val="21"/>
          <w:szCs w:val="24"/>
        </w:rPr>
        <w:t>1</w:t>
      </w:r>
      <w:r>
        <w:rPr>
          <w:rFonts w:hint="eastAsia"/>
          <w:sz w:val="21"/>
          <w:szCs w:val="24"/>
        </w:rPr>
        <w:t>、当期非经常性损益明细表</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right"/>
        <w:rPr>
          <w:rFonts w:hint="default"/>
          <w:sz w:val="18"/>
          <w:szCs w:val="24"/>
        </w:rPr>
      </w:pPr>
      <w:r>
        <w:rPr>
          <w:rFonts w:hint="eastAsia"/>
          <w:sz w:val="18"/>
          <w:szCs w:val="24"/>
        </w:rPr>
        <w:t>单位：元</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24"/>
        <w:gridCol w:w="3059"/>
        <w:gridCol w:w="3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项目</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金额</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非流动资产处置损益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523,371.73</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计入当期损益的政府补助（与公司正常经营业务密切相关，符合国家政策规定、按照一定标准定额或定量持续享受的政府补助除外）</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3,151,472.34</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委托他人投资或管理资产的损益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15,915,730.99</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-3,366,653.30</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除上述各项之外的其他营业外收入和支出</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1,056,753.26</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减：所得税影响额</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3,134,875.48</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left"/>
              <w:rPr>
                <w:rFonts w:hint="default"/>
                <w:sz w:val="18"/>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24"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合计</w:t>
            </w:r>
          </w:p>
        </w:tc>
        <w:tc>
          <w:tcPr>
            <w:tcW w:w="3059"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14,145,799.54</w:t>
            </w:r>
          </w:p>
        </w:tc>
        <w:tc>
          <w:tcPr>
            <w:tcW w:w="3186"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default"/>
                <w:sz w:val="18"/>
                <w:szCs w:val="24"/>
              </w:rPr>
              <w:t>--</w:t>
            </w:r>
          </w:p>
        </w:tc>
      </w:tr>
    </w:tbl>
    <w:p>
      <w:pPr>
        <w:spacing w:beforeLines="0" w:afterLines="0"/>
        <w:jc w:val="left"/>
        <w:rPr>
          <w:rFonts w:hint="default"/>
          <w:sz w:val="18"/>
          <w:szCs w:val="24"/>
        </w:rPr>
      </w:pPr>
      <w:r>
        <w:rPr>
          <w:rFonts w:hint="eastAsia"/>
          <w:sz w:val="18"/>
          <w:szCs w:val="24"/>
        </w:rPr>
        <w:t>其他符合非经常性损益定义的损益项目的具体情况：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spacing w:beforeLines="0" w:afterLines="0"/>
        <w:jc w:val="left"/>
        <w:rPr>
          <w:rFonts w:hint="default"/>
          <w:sz w:val="18"/>
          <w:szCs w:val="24"/>
        </w:rPr>
      </w:pPr>
      <w:r>
        <w:rPr>
          <w:rFonts w:hint="eastAsia"/>
          <w:sz w:val="18"/>
          <w:szCs w:val="24"/>
        </w:rPr>
        <w:t>公司不存在其他符合非经常性损益定义的损益项目的具体情况。</w:t>
      </w:r>
    </w:p>
    <w:p>
      <w:pPr>
        <w:spacing w:beforeLines="0" w:afterLines="0"/>
        <w:jc w:val="left"/>
        <w:rPr>
          <w:rFonts w:hint="default"/>
          <w:sz w:val="18"/>
          <w:szCs w:val="24"/>
        </w:rPr>
      </w:pPr>
      <w:r>
        <w:rPr>
          <w:rFonts w:hint="eastAsia"/>
          <w:sz w:val="18"/>
          <w:szCs w:val="24"/>
        </w:rPr>
        <w:t>将《公开发行证券的公司信息披露解释性公告第</w:t>
      </w:r>
      <w:r>
        <w:rPr>
          <w:rFonts w:hint="default"/>
          <w:sz w:val="18"/>
          <w:szCs w:val="24"/>
        </w:rPr>
        <w:t>1</w:t>
      </w:r>
      <w:r>
        <w:rPr>
          <w:rFonts w:hint="eastAsia"/>
          <w:sz w:val="18"/>
          <w:szCs w:val="24"/>
        </w:rPr>
        <w:t>号</w:t>
      </w:r>
      <w:r>
        <w:rPr>
          <w:rFonts w:hint="default"/>
          <w:sz w:val="18"/>
          <w:szCs w:val="24"/>
        </w:rPr>
        <w:t>——</w:t>
      </w:r>
      <w:r>
        <w:rPr>
          <w:rFonts w:hint="eastAsia"/>
          <w:sz w:val="18"/>
          <w:szCs w:val="24"/>
        </w:rPr>
        <w:t>非经常性损益》中列举的非经常性损益项目界定为经常性损益项目的情况说明</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2"/>
        <w:rPr>
          <w:rFonts w:hint="default"/>
          <w:sz w:val="21"/>
          <w:szCs w:val="24"/>
        </w:rPr>
      </w:pPr>
      <w:r>
        <w:rPr>
          <w:rFonts w:hint="default"/>
          <w:sz w:val="21"/>
          <w:szCs w:val="24"/>
        </w:rPr>
        <w:t>2</w:t>
      </w:r>
      <w:r>
        <w:rPr>
          <w:rFonts w:hint="eastAsia"/>
          <w:sz w:val="21"/>
          <w:szCs w:val="24"/>
        </w:rPr>
        <w:t>、净资产收益率及每股收益</w:t>
      </w:r>
    </w:p>
    <w:tbl>
      <w:tblPr>
        <w:tblStyle w:val="4"/>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62"/>
        <w:gridCol w:w="3080"/>
        <w:gridCol w:w="1913"/>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报告期利润</w:t>
            </w:r>
          </w:p>
        </w:tc>
        <w:tc>
          <w:tcPr>
            <w:tcW w:w="308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加权平均净资产收益率</w:t>
            </w:r>
          </w:p>
        </w:tc>
        <w:tc>
          <w:tcPr>
            <w:tcW w:w="3826" w:type="dxa"/>
            <w:gridSpan w:val="2"/>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每股收益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308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spacing w:beforeLines="0" w:afterLines="0"/>
              <w:jc w:val="center"/>
              <w:rPr>
                <w:rFonts w:hint="default"/>
                <w:sz w:val="18"/>
                <w:szCs w:val="24"/>
              </w:rPr>
            </w:pP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基本每股收益（元</w:t>
            </w:r>
            <w:r>
              <w:rPr>
                <w:rFonts w:hint="default"/>
                <w:sz w:val="18"/>
                <w:szCs w:val="24"/>
              </w:rPr>
              <w:t>/</w:t>
            </w:r>
            <w:r>
              <w:rPr>
                <w:rFonts w:hint="eastAsia"/>
                <w:sz w:val="18"/>
                <w:szCs w:val="24"/>
              </w:rPr>
              <w:t>股）</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center"/>
              <w:rPr>
                <w:rFonts w:hint="default"/>
                <w:sz w:val="18"/>
                <w:szCs w:val="24"/>
              </w:rPr>
            </w:pPr>
            <w:r>
              <w:rPr>
                <w:rFonts w:hint="eastAsia"/>
                <w:sz w:val="18"/>
                <w:szCs w:val="24"/>
              </w:rPr>
              <w:t>稀释每股收益（元</w:t>
            </w:r>
            <w:r>
              <w:rPr>
                <w:rFonts w:hint="default"/>
                <w:sz w:val="18"/>
                <w:szCs w:val="24"/>
              </w:rPr>
              <w:t>/</w:t>
            </w:r>
            <w:r>
              <w:rPr>
                <w:rFonts w:hint="eastAsia"/>
                <w:sz w:val="18"/>
                <w:szCs w:val="24"/>
              </w:rPr>
              <w:t>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归属于公司普通股股东的净利润</w:t>
            </w:r>
          </w:p>
        </w:tc>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9.36%</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0.36</w:t>
            </w:r>
          </w:p>
        </w:tc>
        <w:tc>
          <w:tcPr>
            <w:tcW w:w="19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right"/>
              <w:rPr>
                <w:rFonts w:hint="default"/>
                <w:sz w:val="18"/>
                <w:szCs w:val="24"/>
              </w:rPr>
            </w:pPr>
            <w:r>
              <w:rPr>
                <w:rFonts w:hint="default"/>
                <w:sz w:val="18"/>
                <w:szCs w:val="24"/>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62" w:type="dxa"/>
            <w:tcBorders>
              <w:top w:val="single" w:color="auto" w:sz="4" w:space="0"/>
              <w:left w:val="single" w:color="auto" w:sz="4" w:space="0"/>
              <w:bottom w:val="single" w:color="auto" w:sz="4" w:space="0"/>
              <w:right w:val="single" w:color="auto" w:sz="4" w:space="0"/>
              <w:tl2br w:val="nil"/>
              <w:tr2bl w:val="nil"/>
            </w:tcBorders>
            <w:shd w:val="clear" w:color="auto" w:fill="D3D3D3"/>
            <w:noWrap w:val="0"/>
            <w:vAlign w:val="center"/>
          </w:tcPr>
          <w:p>
            <w:pPr>
              <w:spacing w:beforeLines="0" w:afterLines="0"/>
              <w:jc w:val="left"/>
              <w:rPr>
                <w:rFonts w:hint="default"/>
                <w:sz w:val="18"/>
                <w:szCs w:val="24"/>
              </w:rPr>
            </w:pPr>
            <w:r>
              <w:rPr>
                <w:rFonts w:hint="eastAsia"/>
                <w:sz w:val="18"/>
                <w:szCs w:val="24"/>
              </w:rPr>
              <w:t>扣除非经常性损益后归属于公司普通股股东的净利润</w:t>
            </w:r>
          </w:p>
        </w:tc>
        <w:tc>
          <w:tcPr>
            <w:tcW w:w="3080"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7.19%</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0.28</w:t>
            </w:r>
          </w:p>
        </w:tc>
        <w:tc>
          <w:tcPr>
            <w:tcW w:w="1913" w:type="dxa"/>
            <w:tcBorders>
              <w:top w:val="single" w:color="auto" w:sz="4" w:space="0"/>
              <w:left w:val="single" w:color="auto" w:sz="4" w:space="0"/>
              <w:bottom w:val="single" w:color="auto" w:sz="4" w:space="0"/>
              <w:right w:val="single" w:color="auto" w:sz="4" w:space="0"/>
              <w:tl2br w:val="nil"/>
              <w:tr2bl w:val="nil"/>
            </w:tcBorders>
            <w:shd w:val="clear" w:color="auto" w:fill="FFFFFF"/>
            <w:noWrap w:val="0"/>
            <w:vAlign w:val="center"/>
          </w:tcPr>
          <w:p>
            <w:pPr>
              <w:spacing w:beforeLines="0" w:afterLines="0"/>
              <w:jc w:val="right"/>
              <w:rPr>
                <w:rFonts w:hint="default"/>
                <w:sz w:val="18"/>
                <w:szCs w:val="24"/>
              </w:rPr>
            </w:pPr>
            <w:r>
              <w:rPr>
                <w:rFonts w:hint="default"/>
                <w:sz w:val="18"/>
                <w:szCs w:val="24"/>
              </w:rPr>
              <w:t>0.28</w:t>
            </w:r>
          </w:p>
        </w:tc>
      </w:tr>
    </w:tbl>
    <w:p>
      <w:pPr>
        <w:pStyle w:val="7"/>
        <w:spacing w:beforeLines="0" w:afterLines="0"/>
        <w:outlineLvl w:val="2"/>
        <w:rPr>
          <w:rFonts w:hint="default"/>
          <w:sz w:val="21"/>
          <w:szCs w:val="24"/>
        </w:rPr>
      </w:pPr>
      <w:r>
        <w:rPr>
          <w:rFonts w:hint="default"/>
          <w:sz w:val="21"/>
          <w:szCs w:val="24"/>
        </w:rPr>
        <w:t>3</w:t>
      </w:r>
      <w:r>
        <w:rPr>
          <w:rFonts w:hint="eastAsia"/>
          <w:sz w:val="21"/>
          <w:szCs w:val="24"/>
        </w:rPr>
        <w:t>、境内外会计准则下会计数据差异</w:t>
      </w:r>
    </w:p>
    <w:p>
      <w:pPr>
        <w:pStyle w:val="7"/>
        <w:spacing w:beforeLines="0" w:afterLines="0"/>
        <w:outlineLvl w:val="3"/>
        <w:rPr>
          <w:rFonts w:hint="default"/>
          <w:sz w:val="21"/>
          <w:szCs w:val="24"/>
        </w:rPr>
      </w:pPr>
      <w:r>
        <w:rPr>
          <w:rFonts w:hint="eastAsia"/>
          <w:sz w:val="21"/>
          <w:szCs w:val="24"/>
        </w:rPr>
        <w:t>（</w:t>
      </w:r>
      <w:r>
        <w:rPr>
          <w:rFonts w:hint="default"/>
          <w:sz w:val="21"/>
          <w:szCs w:val="24"/>
        </w:rPr>
        <w:t>1</w:t>
      </w:r>
      <w:r>
        <w:rPr>
          <w:rFonts w:hint="eastAsia"/>
          <w:sz w:val="21"/>
          <w:szCs w:val="24"/>
        </w:rPr>
        <w:t>）同时按照国际会计准则与按中国会计准则披露的财务报告中净利润和净资产差异情况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2</w:t>
      </w:r>
      <w:r>
        <w:rPr>
          <w:rFonts w:hint="eastAsia"/>
          <w:sz w:val="21"/>
          <w:szCs w:val="24"/>
        </w:rPr>
        <w:t>）同时按照境外会计准则与按中国会计准则披露的财务报告中净利润和净资产差异情况</w:t>
      </w:r>
    </w:p>
    <w:p>
      <w:pPr>
        <w:spacing w:beforeLines="0" w:afterLines="0"/>
        <w:jc w:val="left"/>
        <w:rPr>
          <w:rFonts w:hint="default"/>
          <w:sz w:val="18"/>
          <w:szCs w:val="24"/>
        </w:rPr>
      </w:pPr>
      <w:r>
        <w:rPr>
          <w:rFonts w:hint="eastAsia"/>
          <w:sz w:val="18"/>
          <w:szCs w:val="24"/>
        </w:rPr>
        <w:t>□</w:t>
      </w:r>
      <w:r>
        <w:rPr>
          <w:rFonts w:hint="default"/>
          <w:sz w:val="18"/>
          <w:szCs w:val="24"/>
        </w:rPr>
        <w:t xml:space="preserve"> </w:t>
      </w:r>
      <w:r>
        <w:rPr>
          <w:rFonts w:hint="eastAsia"/>
          <w:sz w:val="18"/>
          <w:szCs w:val="24"/>
        </w:rPr>
        <w:t>适用</w:t>
      </w:r>
      <w:r>
        <w:rPr>
          <w:rFonts w:hint="default"/>
          <w:sz w:val="18"/>
          <w:szCs w:val="24"/>
        </w:rPr>
        <w:t xml:space="preserve"> </w:t>
      </w:r>
      <w:r>
        <w:rPr>
          <w:rFonts w:hint="eastAsia"/>
          <w:sz w:val="18"/>
          <w:szCs w:val="24"/>
        </w:rPr>
        <w:t>√</w:t>
      </w:r>
      <w:r>
        <w:rPr>
          <w:rFonts w:hint="default"/>
          <w:sz w:val="18"/>
          <w:szCs w:val="24"/>
        </w:rPr>
        <w:t xml:space="preserve"> </w:t>
      </w:r>
      <w:r>
        <w:rPr>
          <w:rFonts w:hint="eastAsia"/>
          <w:sz w:val="18"/>
          <w:szCs w:val="24"/>
        </w:rPr>
        <w:t>不适用</w:t>
      </w:r>
      <w:r>
        <w:rPr>
          <w:rFonts w:hint="default"/>
          <w:sz w:val="18"/>
          <w:szCs w:val="24"/>
        </w:rPr>
        <w:t xml:space="preserve"> </w:t>
      </w:r>
    </w:p>
    <w:p>
      <w:pPr>
        <w:pStyle w:val="7"/>
        <w:spacing w:beforeLines="0" w:afterLines="0"/>
        <w:outlineLvl w:val="3"/>
        <w:rPr>
          <w:rFonts w:hint="default"/>
          <w:sz w:val="21"/>
          <w:szCs w:val="24"/>
        </w:rPr>
      </w:pPr>
      <w:r>
        <w:rPr>
          <w:rFonts w:hint="eastAsia"/>
          <w:sz w:val="21"/>
          <w:szCs w:val="24"/>
        </w:rPr>
        <w:t>（</w:t>
      </w:r>
      <w:r>
        <w:rPr>
          <w:rFonts w:hint="default"/>
          <w:sz w:val="21"/>
          <w:szCs w:val="24"/>
        </w:rPr>
        <w:t>3</w:t>
      </w:r>
      <w:r>
        <w:rPr>
          <w:rFonts w:hint="eastAsia"/>
          <w:sz w:val="21"/>
          <w:szCs w:val="24"/>
        </w:rPr>
        <w:t>）境内外会计准则下会计数据差异原因说明，对已经境外审计机构审计的数据进行差异调节的，应注明该境外机构的名称</w:t>
      </w:r>
    </w:p>
    <w:p>
      <w:pPr>
        <w:pStyle w:val="7"/>
        <w:spacing w:beforeLines="0" w:afterLines="0"/>
        <w:outlineLvl w:val="2"/>
        <w:rPr>
          <w:rFonts w:hint="eastAsia"/>
          <w:sz w:val="21"/>
          <w:szCs w:val="24"/>
        </w:rPr>
      </w:pPr>
      <w:r>
        <w:rPr>
          <w:rFonts w:hint="default"/>
          <w:sz w:val="21"/>
          <w:szCs w:val="24"/>
        </w:rPr>
        <w:t>4</w:t>
      </w:r>
      <w:r>
        <w:rPr>
          <w:rFonts w:hint="eastAsia"/>
          <w:sz w:val="21"/>
          <w:szCs w:val="24"/>
        </w:rPr>
        <w:t>、其他</w:t>
      </w:r>
    </w:p>
    <w:p>
      <w:pPr>
        <w:spacing w:beforeLines="0" w:afterLines="0"/>
        <w:rPr>
          <w:rFonts w:hint="eastAsia"/>
          <w:sz w:val="21"/>
          <w:szCs w:val="24"/>
        </w:rPr>
      </w:pPr>
    </w:p>
    <w:p>
      <w:pPr>
        <w:autoSpaceDE w:val="0"/>
        <w:autoSpaceDN w:val="0"/>
        <w:adjustRightInd w:val="0"/>
        <w:spacing w:before="150" w:beforeLines="0" w:after="150" w:afterLines="0"/>
        <w:rPr>
          <w:rFonts w:hint="eastAsia" w:ascii="宋体"/>
          <w:color w:val="auto"/>
          <w:sz w:val="21"/>
          <w:szCs w:val="24"/>
          <w:lang w:val="zh-CN"/>
        </w:rPr>
      </w:pPr>
    </w:p>
    <w:p>
      <w:pPr>
        <w:autoSpaceDE w:val="0"/>
        <w:autoSpaceDN w:val="0"/>
        <w:adjustRightInd w:val="0"/>
        <w:spacing w:before="0" w:beforeLines="0" w:after="0" w:afterLines="0"/>
        <w:jc w:val="right"/>
        <w:rPr>
          <w:rFonts w:hint="eastAsia" w:ascii="宋体"/>
          <w:color w:val="auto"/>
          <w:sz w:val="18"/>
          <w:szCs w:val="24"/>
        </w:rPr>
      </w:pPr>
      <w:r>
        <w:rPr>
          <w:rFonts w:hint="eastAsia" w:ascii="宋体"/>
          <w:color w:val="auto"/>
          <w:sz w:val="18"/>
          <w:szCs w:val="24"/>
        </w:rPr>
        <w:t>青岛伟隆阀门股份有限公司董事会</w:t>
      </w: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rPr>
      </w:pPr>
    </w:p>
    <w:p>
      <w:pPr>
        <w:autoSpaceDE w:val="0"/>
        <w:autoSpaceDN w:val="0"/>
        <w:adjustRightInd w:val="0"/>
        <w:spacing w:before="0" w:beforeLines="0" w:after="0" w:afterLines="0"/>
        <w:ind w:firstLine="7560" w:firstLineChars="4200"/>
        <w:jc w:val="left"/>
        <w:rPr>
          <w:rFonts w:hint="eastAsia" w:ascii="宋体"/>
          <w:color w:val="auto"/>
          <w:sz w:val="18"/>
          <w:szCs w:val="24"/>
          <w:u w:val="single"/>
        </w:rPr>
      </w:pPr>
      <w:r>
        <w:rPr>
          <w:rFonts w:hint="eastAsia" w:ascii="宋体"/>
          <w:color w:val="auto"/>
          <w:sz w:val="18"/>
          <w:szCs w:val="24"/>
        </w:rPr>
        <w:t>董事长：</w:t>
      </w:r>
      <w:r>
        <w:rPr>
          <w:rFonts w:hint="eastAsia" w:ascii="宋体"/>
          <w:color w:val="auto"/>
          <w:sz w:val="18"/>
          <w:szCs w:val="24"/>
          <w:u w:val="single"/>
        </w:rPr>
        <w:t xml:space="preserve">             </w:t>
      </w:r>
    </w:p>
    <w:p>
      <w:pPr>
        <w:autoSpaceDE w:val="0"/>
        <w:autoSpaceDN w:val="0"/>
        <w:adjustRightInd w:val="0"/>
        <w:spacing w:before="0" w:beforeLines="0" w:after="0" w:afterLines="0"/>
        <w:ind w:firstLine="8640" w:firstLineChars="4800"/>
        <w:jc w:val="left"/>
        <w:rPr>
          <w:rFonts w:hint="eastAsia" w:ascii="宋体"/>
          <w:color w:val="auto"/>
          <w:sz w:val="18"/>
          <w:szCs w:val="24"/>
        </w:rPr>
      </w:pPr>
      <w:r>
        <w:rPr>
          <w:rFonts w:hint="eastAsia" w:ascii="宋体"/>
          <w:color w:val="auto"/>
          <w:sz w:val="18"/>
          <w:szCs w:val="24"/>
        </w:rPr>
        <w:t>范庆伟</w:t>
      </w:r>
    </w:p>
    <w:p>
      <w:pPr>
        <w:spacing w:beforeLines="0" w:afterLines="0"/>
        <w:jc w:val="left"/>
        <w:rPr>
          <w:rFonts w:hint="eastAsia"/>
          <w:sz w:val="18"/>
          <w:szCs w:val="24"/>
        </w:rPr>
      </w:pPr>
    </w:p>
    <w:p>
      <w:pPr>
        <w:spacing w:beforeLines="0" w:afterLines="0"/>
        <w:jc w:val="right"/>
        <w:rPr>
          <w:rFonts w:hint="eastAsia"/>
          <w:sz w:val="18"/>
          <w:szCs w:val="24"/>
        </w:rPr>
      </w:pPr>
      <w:r>
        <w:rPr>
          <w:rFonts w:hint="eastAsia"/>
          <w:sz w:val="18"/>
          <w:szCs w:val="24"/>
        </w:rPr>
        <w:t>2022年04月27日</w:t>
      </w:r>
    </w:p>
    <w:p>
      <w:pPr>
        <w:spacing w:beforeLines="0" w:afterLines="0"/>
        <w:rPr>
          <w:rFonts w:hint="default"/>
          <w:sz w:val="21"/>
          <w:szCs w:val="24"/>
        </w:rPr>
      </w:pPr>
    </w:p>
    <w:p/>
    <w:sectPr>
      <w:pgSz w:w="11906" w:h="16838"/>
      <w:pgMar w:top="1440" w:right="1134" w:bottom="1440" w:left="1134"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sz w:val="18"/>
        <w:szCs w:val="24"/>
      </w:rPr>
    </w:pPr>
    <w:r>
      <w:rPr>
        <w:rFonts w:hint="default"/>
        <w:sz w:val="18"/>
        <w:szCs w:val="24"/>
      </w:rPr>
      <w:fldChar w:fldCharType="begin"/>
    </w:r>
    <w:r>
      <w:rPr>
        <w:rFonts w:hint="default"/>
        <w:sz w:val="18"/>
        <w:szCs w:val="24"/>
      </w:rPr>
      <w:instrText xml:space="preserve"> PAGE </w:instrText>
    </w:r>
    <w:r>
      <w:rPr>
        <w:rFonts w:hint="default"/>
        <w:sz w:val="18"/>
        <w:szCs w:val="24"/>
      </w:rPr>
      <w:fldChar w:fldCharType="separate"/>
    </w:r>
    <w:r>
      <w:rPr>
        <w:rFonts w:hint="default"/>
        <w:sz w:val="18"/>
        <w:szCs w:val="24"/>
      </w:rPr>
      <w:t>203</w:t>
    </w:r>
    <w:r>
      <w:rPr>
        <w:rFonts w:hint="default"/>
        <w:sz w:val="18"/>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rPr>
        <w:rFonts w:hint="default"/>
        <w:sz w:val="18"/>
        <w:szCs w:val="24"/>
      </w:rPr>
    </w:pPr>
    <w:r>
      <w:rPr>
        <w:rFonts w:hint="eastAsia"/>
        <w:sz w:val="18"/>
        <w:szCs w:val="24"/>
      </w:rPr>
      <w:t>青岛伟隆阀门股份有限公司</w:t>
    </w:r>
    <w:r>
      <w:rPr>
        <w:rFonts w:hint="default"/>
        <w:sz w:val="18"/>
        <w:szCs w:val="24"/>
      </w:rPr>
      <w:t>2021</w:t>
    </w:r>
    <w:r>
      <w:rPr>
        <w:rFonts w:hint="eastAsia"/>
        <w:sz w:val="18"/>
        <w:szCs w:val="24"/>
      </w:rPr>
      <w:t>年年度报告全文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09E4DB"/>
    <w:multiLevelType w:val="multilevel"/>
    <w:tmpl w:val="3109E4DB"/>
    <w:lvl w:ilvl="0" w:tentative="0">
      <w:start w:val="2"/>
      <w:numFmt w:val="chineseCounting"/>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NTk0NmJhMDhjZGY4ODdlNGY0N2FjYzE1NTM4ZDkifQ=="/>
  </w:docVars>
  <w:rsids>
    <w:rsidRoot w:val="00000000"/>
    <w:rsid w:val="00BA28A7"/>
    <w:rsid w:val="49092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40" w:beforeLines="0" w:after="40" w:afterLines="0"/>
      <w:jc w:val="both"/>
    </w:pPr>
    <w:rPr>
      <w:rFonts w:hint="eastAsia" w:ascii="Times New Roman" w:hAnsi="Times New Roman" w:eastAsia="宋体" w:cs="Times New Roman"/>
      <w:kern w:val="2"/>
      <w:sz w:val="18"/>
      <w:szCs w:val="1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spacing w:beforeLines="0" w:afterLines="0"/>
      <w:jc w:val="left"/>
    </w:pPr>
    <w:rPr>
      <w:rFonts w:hint="eastAsia"/>
      <w:sz w:val="18"/>
      <w:szCs w:val="18"/>
    </w:rPr>
  </w:style>
  <w:style w:type="paragraph" w:styleId="3">
    <w:name w:val="Title"/>
    <w:basedOn w:val="1"/>
    <w:next w:val="1"/>
    <w:unhideWhenUsed/>
    <w:qFormat/>
    <w:uiPriority w:val="99"/>
    <w:pPr>
      <w:keepNext/>
      <w:keepLines/>
      <w:spacing w:before="340" w:beforeLines="0" w:after="330" w:afterLines="0" w:line="578" w:lineRule="auto"/>
      <w:jc w:val="center"/>
    </w:pPr>
    <w:rPr>
      <w:rFonts w:hint="eastAsia"/>
      <w:b/>
      <w:kern w:val="32"/>
      <w:sz w:val="32"/>
      <w:szCs w:val="24"/>
    </w:rPr>
  </w:style>
  <w:style w:type="paragraph" w:customStyle="1" w:styleId="6">
    <w:name w:val="Chapter"/>
    <w:next w:val="1"/>
    <w:unhideWhenUsed/>
    <w:qFormat/>
    <w:uiPriority w:val="99"/>
    <w:pPr>
      <w:keepNext/>
      <w:keepLines/>
      <w:widowControl w:val="0"/>
      <w:spacing w:before="300" w:beforeLines="0" w:after="300" w:afterLines="0" w:line="241" w:lineRule="auto"/>
      <w:jc w:val="both"/>
    </w:pPr>
    <w:rPr>
      <w:rFonts w:hint="eastAsia" w:ascii="Times New Roman" w:hAnsi="Times New Roman" w:eastAsia="宋体" w:cs="Times New Roman"/>
      <w:b/>
      <w:kern w:val="28"/>
      <w:sz w:val="24"/>
      <w:szCs w:val="24"/>
      <w:lang w:val="en-US" w:eastAsia="zh-CN" w:bidi="ar-SA"/>
    </w:rPr>
  </w:style>
  <w:style w:type="paragraph" w:customStyle="1" w:styleId="7">
    <w:name w:val="Section"/>
    <w:next w:val="1"/>
    <w:unhideWhenUsed/>
    <w:qFormat/>
    <w:uiPriority w:val="99"/>
    <w:pPr>
      <w:keepNext/>
      <w:keepLines/>
      <w:widowControl w:val="0"/>
      <w:spacing w:before="300" w:beforeLines="0" w:after="300" w:afterLines="0" w:line="241" w:lineRule="auto"/>
      <w:jc w:val="both"/>
    </w:pPr>
    <w:rPr>
      <w:rFonts w:hint="eastAsia" w:ascii="Times New Roman" w:hAnsi="Times New Roman" w:eastAsia="宋体" w:cs="Times New Roman"/>
      <w:b/>
      <w:kern w:val="28"/>
      <w:sz w:val="21"/>
      <w:szCs w:val="24"/>
      <w:lang w:val="en-US" w:eastAsia="zh-CN" w:bidi="ar-SA"/>
    </w:rPr>
  </w:style>
  <w:style w:type="character" w:customStyle="1" w:styleId="8">
    <w:name w:val="font31"/>
    <w:basedOn w:val="5"/>
    <w:unhideWhenUsed/>
    <w:qFormat/>
    <w:uiPriority w:val="0"/>
    <w:rPr>
      <w:rFonts w:hint="default" w:cs="Times New Roman"/>
      <w:color w:val="000000"/>
      <w:sz w:val="18"/>
      <w:szCs w:val="18"/>
    </w:rPr>
  </w:style>
  <w:style w:type="character" w:customStyle="1" w:styleId="9">
    <w:name w:val="font21"/>
    <w:basedOn w:val="5"/>
    <w:unhideWhenUsed/>
    <w:qFormat/>
    <w:uiPriority w:val="0"/>
    <w:rPr>
      <w:rFonts w:hint="eastAsia" w:ascii="宋体" w:hAnsi="Times New Roman" w:eastAsia="宋体" w:cs="宋体"/>
      <w:color w:val="000000"/>
      <w:sz w:val="18"/>
      <w:szCs w:val="18"/>
    </w:rPr>
  </w:style>
  <w:style w:type="character" w:customStyle="1" w:styleId="10">
    <w:name w:val="fontstyle01"/>
    <w:basedOn w:val="5"/>
    <w:unhideWhenUsed/>
    <w:qFormat/>
    <w:uiPriority w:val="0"/>
    <w:rPr>
      <w:rFonts w:hint="eastAsia" w:ascii="宋体" w:hAnsi="宋体" w:eastAsia="宋体" w:cs="Times New Roman"/>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204</Pages>
  <Words>123592</Words>
  <Characters>152971</Characters>
  <Lines>0</Lines>
  <Paragraphs>0</Paragraphs>
  <TotalTime>0</TotalTime>
  <ScaleCrop>false</ScaleCrop>
  <LinksUpToDate>false</LinksUpToDate>
  <CharactersWithSpaces>155469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2022-04-24T03:01:00Z</dcterms:created>
  <dc:creator>zhaoxiang</dc:creator>
  <cp:lastModifiedBy>Mr.翔</cp:lastModifiedBy>
  <dcterms:modified xsi:type="dcterms:W3CDTF">2022-04-26T06:12:15Z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eyJoZGlkIjoiNTRiNTZmOGQyODk1MzE1NDEzOTk0ZDIzZDE3NGIwMGUifQ==</vt:lpwstr>
  </property>
  <property fmtid="{D5CDD505-2E9C-101B-9397-08002B2CF9AE}" pid="4" name="ICV">
    <vt:lpwstr>E85A3BF6EB954C2E8086352568B6CBE7</vt:lpwstr>
  </property>
</Properties>
</file>